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509</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：衡水市园林中心</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衡水市园林中心</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snapToGrid w:val="0"/>
        <w:spacing w:line="52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lang w:val="en-US" w:eastAsia="zh-CN"/>
        </w:rPr>
        <w:t>（一）</w:t>
      </w:r>
      <w:r>
        <w:rPr>
          <w:rFonts w:hint="default" w:ascii="仿宋_GB2312" w:hAnsi="仿宋" w:eastAsia="仿宋_GB2312"/>
          <w:sz w:val="32"/>
          <w:szCs w:val="32"/>
          <w:lang w:val="en-US" w:eastAsia="zh-CN"/>
        </w:rPr>
        <w:t>承担市区主干道绿地及10公顷以上市级综合性公园、专类园等城市公园的养护管理；</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（二）</w:t>
      </w:r>
      <w:r>
        <w:rPr>
          <w:rFonts w:hint="default" w:ascii="仿宋_GB2312" w:hAnsi="仿宋" w:eastAsia="仿宋_GB2312"/>
          <w:sz w:val="32"/>
          <w:szCs w:val="32"/>
          <w:lang w:val="en-US" w:eastAsia="zh-CN"/>
        </w:rPr>
        <w:t>负责园博园、植物园的养护管理；</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（三）</w:t>
      </w:r>
      <w:r>
        <w:rPr>
          <w:rFonts w:hint="default" w:ascii="仿宋_GB2312" w:hAnsi="仿宋" w:eastAsia="仿宋_GB2312"/>
          <w:sz w:val="32"/>
          <w:szCs w:val="32"/>
          <w:lang w:val="en-US" w:eastAsia="zh-CN"/>
        </w:rPr>
        <w:t>负责滏阳河段两岸及滏阳生态文化公园广场的绿化养护、补植种植、绿化带保洁工作；</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（四）</w:t>
      </w:r>
      <w:r>
        <w:rPr>
          <w:rFonts w:hint="default" w:ascii="仿宋_GB2312" w:hAnsi="仿宋" w:eastAsia="仿宋_GB2312"/>
          <w:sz w:val="32"/>
          <w:szCs w:val="32"/>
          <w:lang w:val="en-US" w:eastAsia="zh-CN"/>
        </w:rPr>
        <w:t>负责对城市规划区内防护绿地、单位附属绿地、居住区绿地、生产绿地的建设管理工作提供技术服务保障，负责市区内全民义务植树协调服务工作；</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（五）</w:t>
      </w:r>
      <w:r>
        <w:rPr>
          <w:rFonts w:hint="default" w:ascii="仿宋_GB2312" w:hAnsi="仿宋" w:eastAsia="仿宋_GB2312"/>
          <w:sz w:val="32"/>
          <w:szCs w:val="32"/>
          <w:lang w:val="en-US" w:eastAsia="zh-CN"/>
        </w:rPr>
        <w:t>承担园林城市（县城、城区）、生态园林城市、星级公园、园林式单位（居住区、街道）创建相关工作；</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（六）</w:t>
      </w:r>
      <w:r>
        <w:rPr>
          <w:rFonts w:hint="default" w:ascii="仿宋_GB2312" w:hAnsi="仿宋" w:eastAsia="仿宋_GB2312"/>
          <w:sz w:val="32"/>
          <w:szCs w:val="32"/>
          <w:lang w:val="en-US" w:eastAsia="zh-CN"/>
        </w:rPr>
        <w:t>负责开展城市古树名木保护研究与技术服务；</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（七）</w:t>
      </w:r>
      <w:r>
        <w:rPr>
          <w:rFonts w:hint="default" w:ascii="仿宋_GB2312" w:hAnsi="仿宋" w:eastAsia="仿宋_GB2312"/>
          <w:sz w:val="32"/>
          <w:szCs w:val="32"/>
          <w:lang w:val="en-US" w:eastAsia="zh-CN"/>
        </w:rPr>
        <w:t>负责参与研究园林绿化工程方面的技术标准；</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（八）</w:t>
      </w:r>
      <w:r>
        <w:rPr>
          <w:rFonts w:hint="default" w:ascii="仿宋_GB2312" w:hAnsi="仿宋" w:eastAsia="仿宋_GB2312"/>
          <w:sz w:val="32"/>
          <w:szCs w:val="32"/>
          <w:lang w:val="en-US" w:eastAsia="zh-CN"/>
        </w:rPr>
        <w:t>承担城市园林绿化科学研究，推广园林绿化先进技术，组织重大园林绿化科技项目攻关及成果推广；</w:t>
      </w:r>
    </w:p>
    <w:p>
      <w:pPr>
        <w:snapToGrid w:val="0"/>
        <w:spacing w:line="520" w:lineRule="exact"/>
        <w:ind w:firstLine="640" w:firstLineChars="200"/>
        <w:rPr>
          <w:rFonts w:hint="default" w:ascii="仿宋_GB2312" w:hAnsi="仿宋" w:eastAsia="仿宋_GB2312"/>
          <w:sz w:val="32"/>
          <w:szCs w:val="32"/>
        </w:rPr>
      </w:pPr>
      <w:r>
        <w:rPr>
          <w:rFonts w:hint="eastAsia" w:ascii="仿宋_GB2312" w:hAnsi="仿宋" w:eastAsia="仿宋_GB2312"/>
          <w:sz w:val="32"/>
          <w:szCs w:val="32"/>
          <w:lang w:val="en-US" w:eastAsia="zh-CN"/>
        </w:rPr>
        <w:t>（九）</w:t>
      </w:r>
      <w:r>
        <w:rPr>
          <w:rFonts w:hint="default" w:ascii="仿宋_GB2312" w:hAnsi="仿宋" w:eastAsia="仿宋_GB2312"/>
          <w:sz w:val="32"/>
          <w:szCs w:val="32"/>
          <w:lang w:val="en-US" w:eastAsia="zh-CN"/>
        </w:rPr>
        <w:t>负责开展园林绿化方面的国际国内交流与合作；</w:t>
      </w:r>
    </w:p>
    <w:p>
      <w:pPr>
        <w:snapToGrid w:val="0"/>
        <w:spacing w:line="52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lang w:val="en-US" w:eastAsia="zh-CN"/>
        </w:rPr>
        <w:t>（十）</w:t>
      </w:r>
      <w:r>
        <w:rPr>
          <w:rFonts w:hint="default" w:ascii="仿宋_GB2312" w:hAnsi="仿宋" w:eastAsia="仿宋_GB2312"/>
          <w:sz w:val="32"/>
          <w:szCs w:val="32"/>
          <w:lang w:val="en-US" w:eastAsia="zh-CN"/>
        </w:rPr>
        <w:t>承办市委市政府交办的其他事项。</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089"/>
        <w:gridCol w:w="2738"/>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08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73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76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089"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衡水市园林中心</w:t>
            </w:r>
            <w:r>
              <w:rPr>
                <w:rFonts w:hint="eastAsia" w:ascii="仿宋_GB2312" w:hAnsi="Calibri" w:eastAsia="仿宋_GB2312" w:cs="ArialUnicodeMS"/>
                <w:kern w:val="0"/>
                <w:sz w:val="28"/>
                <w:szCs w:val="28"/>
              </w:rPr>
              <w:t>(本级)</w:t>
            </w:r>
          </w:p>
        </w:tc>
        <w:tc>
          <w:tcPr>
            <w:tcW w:w="273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76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089" w:type="dxa"/>
          </w:tcPr>
          <w:p>
            <w:pPr>
              <w:spacing w:line="560" w:lineRule="exact"/>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衡水市广场管理中心</w:t>
            </w:r>
          </w:p>
        </w:tc>
        <w:tc>
          <w:tcPr>
            <w:tcW w:w="273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768"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编制部门（单位）：衡水市园林中心</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8,002.21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2,189.64</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9,198.89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10,191.85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10,191.85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其他文化和旅游支出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682.72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682.72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433.32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433.32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死亡抚恤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93.59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9,198.89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9,198.89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642.00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6,367.25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6,367.25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6,367.25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6,367.25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城市基础设施配套费安排的支出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2,189.64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2,189.64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2121302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2,189.64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2,189.64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199.13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2,922.61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7,269.24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691.64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682.72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682.72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433.32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433.32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249.40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249.40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9,198.89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1,938.24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7,260.65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6,367.25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1,938.24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4,429.01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6,367.25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1,938.24</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4,429.01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2,189.64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2,189.64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2,189.64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2,189.64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8,002.21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2,189.64</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691.64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691.64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93.59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93.59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9,198.89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7,009.25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2,189.64</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199.13</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8,002.21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2,189.64</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10,191.85</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8,002.21</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2,189.64</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877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9"/>
        <w:gridCol w:w="3416"/>
        <w:gridCol w:w="333"/>
        <w:gridCol w:w="982"/>
        <w:gridCol w:w="1037"/>
        <w:gridCol w:w="383"/>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77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77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658"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编制部门（单位）：衡水市园林中心</w:t>
            </w:r>
          </w:p>
        </w:tc>
        <w:tc>
          <w:tcPr>
            <w:tcW w:w="2019"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095"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43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447"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0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1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42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71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90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1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90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1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2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71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71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3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8,002.21</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2,922.61</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5,079.60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691.64</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691.64</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682.72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682.72</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433.32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433.32</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249.40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249.40</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93.59</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7,009.25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1,938.24</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5,071.01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6,367.25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1,938.24</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6,367.25</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1,938.24</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4,429.01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0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31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42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199.13</w:t>
            </w:r>
          </w:p>
        </w:tc>
        <w:tc>
          <w:tcPr>
            <w:tcW w:w="1712"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77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编制部门（单位）：衡水市园林中心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2,388.08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92.09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775.54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27.14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138.34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399.46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517.32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250.05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92.94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17.83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15.30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199.13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442.43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433.32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6.37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2,830.52</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编制部门（单位）：衡水市园林中心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2,189.64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2,189.64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2,189.64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城市基础设施配套费安排的支出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2121302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城市环境卫生</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2,189.64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编制部门（单位）：衡水市园林中心</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val="en-US" w:eastAsia="zh-CN"/>
        </w:rPr>
        <w:t>本单位本年度无相关支出情况，按要求以空表列示。</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编制部门（单位）：衡水市园林中心</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7.04</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4.34</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3.14</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1.61</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1.61</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Arial" w:cs="Times New Roman"/>
          <w:i w:val="0"/>
          <w:iCs w:val="0"/>
          <w:caps w:val="0"/>
          <w:color w:val="000000"/>
          <w:spacing w:val="0"/>
          <w:sz w:val="18"/>
          <w:szCs w:val="18"/>
          <w:highlight w:val="none"/>
          <w:shd w:val="clear" w:fill="FFFFFF"/>
        </w:rPr>
      </w:pPr>
      <w:r>
        <w:rPr>
          <w:rFonts w:hint="default" w:ascii="Times New Roman" w:hAnsi="Times New Roman" w:eastAsia="仿宋_GB2312" w:cs="Times New Roman"/>
          <w:kern w:val="2"/>
          <w:sz w:val="32"/>
          <w:szCs w:val="32"/>
          <w:lang w:eastAsia="zh-CN"/>
        </w:rPr>
        <w:t>本部门2023年度收、支总计（含结转和结余）</w:t>
      </w:r>
      <w:r>
        <w:rPr>
          <w:rFonts w:hint="default" w:ascii="Times New Roman" w:hAnsi="Times New Roman" w:eastAsia="仿宋_GB2312" w:cs="Times New Roman"/>
          <w:kern w:val="2"/>
          <w:sz w:val="32"/>
          <w:szCs w:val="32"/>
          <w:lang w:val="zh-CN" w:eastAsia="zh-CN"/>
        </w:rPr>
        <w:t>10,191.85</w:t>
      </w:r>
      <w:r>
        <w:rPr>
          <w:rFonts w:hint="default" w:ascii="Times New Roman" w:hAnsi="Times New Roman" w:eastAsia="仿宋_GB2312" w:cs="Times New Roman"/>
          <w:kern w:val="2"/>
          <w:sz w:val="32"/>
          <w:szCs w:val="32"/>
          <w:lang w:eastAsia="zh-CN"/>
        </w:rPr>
        <w:t>万元。与2022年度决算相比，收支各增加</w:t>
      </w:r>
      <w:r>
        <w:rPr>
          <w:rFonts w:hint="eastAsia" w:ascii="Times New Roman" w:hAnsi="Times New Roman" w:eastAsia="仿宋_GB2312" w:cs="Times New Roman"/>
          <w:kern w:val="2"/>
          <w:sz w:val="32"/>
          <w:szCs w:val="32"/>
          <w:lang w:val="en-US" w:eastAsia="zh-CN"/>
        </w:rPr>
        <w:t>1906.66</w:t>
      </w:r>
      <w:r>
        <w:rPr>
          <w:rFonts w:hint="default" w:ascii="Times New Roman" w:hAnsi="Times New Roman" w:eastAsia="仿宋_GB2312" w:cs="Times New Roman"/>
          <w:kern w:val="2"/>
          <w:sz w:val="32"/>
          <w:szCs w:val="32"/>
          <w:lang w:eastAsia="zh-CN"/>
        </w:rPr>
        <w:t>万元，增长</w:t>
      </w:r>
      <w:r>
        <w:rPr>
          <w:rFonts w:hint="eastAsia" w:ascii="Times New Roman" w:hAnsi="Times New Roman" w:eastAsia="仿宋_GB2312" w:cs="Times New Roman"/>
          <w:kern w:val="2"/>
          <w:sz w:val="32"/>
          <w:szCs w:val="32"/>
          <w:lang w:val="en-US" w:eastAsia="zh-CN"/>
        </w:rPr>
        <w:t>23.01</w:t>
      </w:r>
      <w:r>
        <w:rPr>
          <w:rFonts w:hint="default" w:ascii="Times New Roman" w:hAnsi="Times New Roman" w:eastAsia="仿宋_GB2312" w:cs="Times New Roman"/>
          <w:kern w:val="2"/>
          <w:sz w:val="32"/>
          <w:szCs w:val="32"/>
          <w:lang w:eastAsia="zh-CN"/>
        </w:rPr>
        <w:t>%，主要原因是</w:t>
      </w:r>
      <w:r>
        <w:rPr>
          <w:rFonts w:hint="eastAsia" w:ascii="仿宋_GB2312" w:hAnsi="仿宋" w:eastAsia="仿宋_GB2312" w:cs="Times New Roman"/>
          <w:sz w:val="32"/>
          <w:szCs w:val="32"/>
          <w:lang w:val="en-US" w:eastAsia="zh-CN"/>
        </w:rPr>
        <w:t>2023年项目变动，收支增加。</w:t>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2"/>
        <w:rPr>
          <w:rFonts w:hint="default" w:ascii="Times New Roman" w:hAnsi="Times New Roman" w:eastAsia="Arial" w:cs="Times New Roman"/>
          <w:i w:val="0"/>
          <w:iCs w:val="0"/>
          <w:caps w:val="0"/>
          <w:color w:val="000000"/>
          <w:spacing w:val="0"/>
          <w:sz w:val="18"/>
          <w:szCs w:val="18"/>
          <w:highlight w:val="none"/>
          <w:shd w:val="clear" w:fill="FFFFFF"/>
        </w:rPr>
      </w:pPr>
      <w:r>
        <w:drawing>
          <wp:inline distT="0" distB="0" distL="114300" distR="114300">
            <wp:extent cx="4581525" cy="275272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4581525" cy="2752725"/>
                    </a:xfrm>
                    <a:prstGeom prst="rect">
                      <a:avLst/>
                    </a:prstGeom>
                    <a:noFill/>
                    <a:ln>
                      <a:noFill/>
                    </a:ln>
                  </pic:spPr>
                </pic:pic>
              </a:graphicData>
            </a:graphic>
          </wp:inline>
        </w:drawing>
      </w:r>
    </w:p>
    <w:p>
      <w:pPr>
        <w:pStyle w:val="2"/>
        <w:ind w:firstLine="640" w:firstLineChars="200"/>
        <w:rPr>
          <w:rFonts w:hint="default" w:ascii="Times New Roman" w:hAnsi="Times New Roman" w:eastAsia="Arial" w:cs="Times New Roman"/>
          <w:i w:val="0"/>
          <w:iCs w:val="0"/>
          <w:caps w:val="0"/>
          <w:color w:val="000000"/>
          <w:spacing w:val="0"/>
          <w:sz w:val="18"/>
          <w:szCs w:val="18"/>
          <w:highlight w:val="none"/>
          <w:shd w:val="clear" w:fill="FFFFFF"/>
        </w:rPr>
      </w:pPr>
      <w:r>
        <w:rPr>
          <w:rFonts w:hint="default" w:ascii="Times New Roman" w:hAnsi="Times New Roman" w:eastAsia="仿宋_GB2312" w:cs="Times New Roman"/>
          <w:kern w:val="2"/>
          <w:sz w:val="32"/>
          <w:szCs w:val="32"/>
          <w:lang w:eastAsia="zh-CN"/>
        </w:rPr>
        <w:t>202</w:t>
      </w:r>
      <w:r>
        <w:rPr>
          <w:rFonts w:hint="eastAsia" w:ascii="Times New Roman" w:hAnsi="Times New Roman" w:eastAsia="仿宋_GB2312" w:cs="Times New Roman"/>
          <w:kern w:val="2"/>
          <w:sz w:val="32"/>
          <w:szCs w:val="32"/>
          <w:lang w:val="en-US" w:eastAsia="zh-CN"/>
        </w:rPr>
        <w:t>2</w:t>
      </w:r>
      <w:r>
        <w:rPr>
          <w:rFonts w:hint="default" w:ascii="Times New Roman" w:hAnsi="Times New Roman" w:eastAsia="仿宋_GB2312" w:cs="Times New Roman"/>
          <w:kern w:val="2"/>
          <w:sz w:val="32"/>
          <w:szCs w:val="32"/>
          <w:lang w:eastAsia="zh-CN"/>
        </w:rPr>
        <w:t>-202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年收支对比情况</w:t>
      </w:r>
      <w:r>
        <w:rPr>
          <w:rFonts w:hint="eastAsia" w:ascii="Times New Roman" w:hAnsi="Times New Roman" w:eastAsia="仿宋_GB2312" w:cs="Times New Roman"/>
          <w:kern w:val="2"/>
          <w:sz w:val="32"/>
          <w:szCs w:val="32"/>
          <w:lang w:eastAsia="zh-CN"/>
        </w:rPr>
        <w:t>（</w:t>
      </w:r>
      <w:r>
        <w:rPr>
          <w:rFonts w:hint="eastAsia" w:ascii="Times New Roman" w:hAnsi="Times New Roman" w:eastAsia="仿宋_GB2312" w:cs="Times New Roman"/>
          <w:kern w:val="2"/>
          <w:sz w:val="32"/>
          <w:szCs w:val="32"/>
          <w:lang w:val="en-US" w:eastAsia="zh-CN"/>
        </w:rPr>
        <w:t>单位：万元</w:t>
      </w:r>
      <w:r>
        <w:rPr>
          <w:rFonts w:hint="eastAsia" w:ascii="Times New Roman" w:hAnsi="Times New Roman" w:eastAsia="仿宋_GB2312" w:cs="Times New Roman"/>
          <w:kern w:val="2"/>
          <w:sz w:val="32"/>
          <w:szCs w:val="32"/>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10,191.85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，其中：财政拨款收入10,191.85万元，占100%；上级补助收入0万元，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10,191.85万元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2,922.61万元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占28.68%；</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7,269.24万元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占71.32%；</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2"/>
      </w:pPr>
      <w:r>
        <w:drawing>
          <wp:inline distT="0" distB="0" distL="114300" distR="114300">
            <wp:extent cx="4581525" cy="2752725"/>
            <wp:effectExtent l="0" t="0" r="952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4581525" cy="2752725"/>
                    </a:xfrm>
                    <a:prstGeom prst="rect">
                      <a:avLst/>
                    </a:prstGeom>
                    <a:noFill/>
                    <a:ln>
                      <a:noFill/>
                    </a:ln>
                  </pic:spPr>
                </pic:pic>
              </a:graphicData>
            </a:graphic>
          </wp:inline>
        </w:drawing>
      </w:r>
    </w:p>
    <w:p>
      <w:pPr>
        <w:pStyle w:val="2"/>
        <w:rPr>
          <w:rFonts w:hint="eastAsia"/>
          <w:lang w:val="zh-CN" w:eastAsia="zh-CN"/>
        </w:rPr>
      </w:pPr>
      <w:r>
        <w:rPr>
          <w:rFonts w:hint="default" w:ascii="Times New Roman" w:hAnsi="Times New Roman" w:eastAsia="仿宋_GB2312" w:cs="Times New Roman"/>
          <w:sz w:val="32"/>
          <w:szCs w:val="32"/>
        </w:rPr>
        <w:t>支出决算构成情况（按支出性质）</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单位：万元</w:t>
      </w:r>
      <w:r>
        <w:rPr>
          <w:rFonts w:hint="eastAsia" w:ascii="Times New Roman" w:hAnsi="Times New Roman" w:eastAsia="仿宋_GB2312" w:cs="Times New Roman"/>
          <w:sz w:val="32"/>
          <w:szCs w:val="32"/>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年度财政拨款本年收入10,191.85</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元,比上年增加</w:t>
      </w:r>
      <w:r>
        <w:rPr>
          <w:rFonts w:hint="eastAsia" w:ascii="Times New Roman" w:hAnsi="Times New Roman" w:eastAsia="仿宋_GB2312" w:cs="Times New Roman"/>
          <w:kern w:val="2"/>
          <w:sz w:val="32"/>
          <w:szCs w:val="32"/>
          <w:lang w:val="en-US" w:eastAsia="zh-CN"/>
        </w:rPr>
        <w:t>1906.66</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kern w:val="2"/>
          <w:sz w:val="32"/>
          <w:szCs w:val="32"/>
          <w:lang w:val="en-US" w:eastAsia="zh-CN"/>
        </w:rPr>
        <w:t>23.01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项目变动，收入增加</w:t>
      </w:r>
      <w:r>
        <w:rPr>
          <w:rFonts w:hint="default" w:ascii="Times New Roman" w:hAnsi="Times New Roman" w:eastAsia="仿宋_GB2312" w:cs="Times New Roman"/>
          <w:color w:val="auto"/>
          <w:kern w:val="2"/>
          <w:sz w:val="32"/>
          <w:szCs w:val="32"/>
          <w:lang w:val="zh-CN" w:eastAsia="zh-CN" w:bidi="ar-SA"/>
        </w:rPr>
        <w:t>；本年支出 10,191.85万元，比上年增加</w:t>
      </w:r>
      <w:r>
        <w:rPr>
          <w:rFonts w:hint="eastAsia" w:ascii="Times New Roman" w:hAnsi="Times New Roman" w:eastAsia="仿宋_GB2312" w:cs="Times New Roman"/>
          <w:kern w:val="2"/>
          <w:sz w:val="32"/>
          <w:szCs w:val="32"/>
          <w:lang w:val="en-US" w:eastAsia="zh-CN"/>
        </w:rPr>
        <w:t>1906.66</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kern w:val="2"/>
          <w:sz w:val="32"/>
          <w:szCs w:val="32"/>
          <w:lang w:val="en-US" w:eastAsia="zh-CN"/>
        </w:rPr>
        <w:t>23.01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项目变动，支出增加</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一般公共预算财政拨款本年收入8,002.21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,比上年增加</w:t>
      </w:r>
      <w:r>
        <w:rPr>
          <w:rFonts w:hint="eastAsia" w:ascii="Times New Roman" w:hAnsi="Times New Roman" w:eastAsia="仿宋_GB2312" w:cs="Times New Roman"/>
          <w:kern w:val="2"/>
          <w:sz w:val="32"/>
          <w:szCs w:val="32"/>
          <w:lang w:val="en-US" w:eastAsia="zh-CN"/>
        </w:rPr>
        <w:t>2901.87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en-US" w:eastAsia="zh-CN"/>
        </w:rPr>
        <w:t>56.9</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项目变动，收入增加</w:t>
      </w:r>
      <w:r>
        <w:rPr>
          <w:rFonts w:hint="default" w:ascii="Times New Roman" w:hAnsi="Times New Roman" w:eastAsia="仿宋_GB2312" w:cs="Times New Roman"/>
          <w:kern w:val="2"/>
          <w:sz w:val="32"/>
          <w:szCs w:val="32"/>
          <w:lang w:val="zh-CN"/>
        </w:rPr>
        <w:t>；本年支出 8,002.21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2901.87</w:t>
      </w:r>
      <w:r>
        <w:rPr>
          <w:rFonts w:hint="default" w:ascii="Times New Roman" w:hAnsi="Times New Roman" w:eastAsia="仿宋_GB2312" w:cs="Times New Roman"/>
          <w:kern w:val="2"/>
          <w:sz w:val="32"/>
          <w:szCs w:val="32"/>
          <w:lang w:val="zh-CN"/>
        </w:rPr>
        <w:t>万元，增长</w:t>
      </w:r>
      <w:bookmarkStart w:id="0" w:name="_GoBack"/>
      <w:bookmarkEnd w:id="0"/>
      <w:r>
        <w:rPr>
          <w:rFonts w:hint="eastAsia" w:ascii="Times New Roman" w:hAnsi="Times New Roman" w:eastAsia="仿宋_GB2312" w:cs="Times New Roman"/>
          <w:kern w:val="2"/>
          <w:sz w:val="32"/>
          <w:szCs w:val="32"/>
          <w:lang w:val="en-US" w:eastAsia="zh-CN"/>
        </w:rPr>
        <w:t>56.9</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项目变动，支出增加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政府性基金预算财政拨款本年收入2,189.64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995.21</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31.25</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2023年项目变动，收入减少</w:t>
      </w:r>
      <w:r>
        <w:rPr>
          <w:rFonts w:hint="default" w:ascii="Times New Roman" w:hAnsi="Times New Roman" w:eastAsia="仿宋_GB2312" w:cs="Times New Roman"/>
          <w:kern w:val="2"/>
          <w:sz w:val="32"/>
          <w:szCs w:val="32"/>
          <w:lang w:val="zh-CN"/>
        </w:rPr>
        <w:t>；本年支出 2,189.64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kern w:val="2"/>
          <w:sz w:val="32"/>
          <w:szCs w:val="32"/>
          <w:lang w:val="en-US" w:eastAsia="zh-CN"/>
        </w:rPr>
        <w:t>995.21</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en-US" w:eastAsia="zh-CN"/>
        </w:rPr>
        <w:t>31.25</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2023年项目变动，支出减少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en-US" w:eastAsia="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kern w:val="2"/>
          <w:sz w:val="32"/>
          <w:szCs w:val="32"/>
          <w:lang w:val="en-US" w:eastAsia="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我部门无</w:t>
      </w:r>
      <w:r>
        <w:rPr>
          <w:rFonts w:hint="default" w:ascii="Times New Roman" w:hAnsi="Times New Roman" w:eastAsia="仿宋_GB2312" w:cs="Times New Roman"/>
          <w:kern w:val="2"/>
          <w:sz w:val="32"/>
          <w:szCs w:val="32"/>
          <w:lang w:val="zh-CN"/>
        </w:rPr>
        <w:t>国有资本经营预算财政拨款；本年支出0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en-US" w:eastAsia="zh-CN"/>
        </w:rPr>
        <w:t>与上年持平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我部门无</w:t>
      </w:r>
      <w:r>
        <w:rPr>
          <w:rFonts w:hint="default" w:ascii="Times New Roman" w:hAnsi="Times New Roman" w:eastAsia="仿宋_GB2312" w:cs="Times New Roman"/>
          <w:kern w:val="2"/>
          <w:sz w:val="32"/>
          <w:szCs w:val="32"/>
          <w:lang w:val="zh-CN"/>
        </w:rPr>
        <w:t>国有资本经营预算财政拨款。</w:t>
      </w:r>
    </w:p>
    <w:p>
      <w:pPr>
        <w:pStyle w:val="2"/>
        <w:rPr>
          <w:rFonts w:hint="default" w:ascii="Times New Roman" w:hAnsi="Times New Roman" w:eastAsia="仿宋_GB2312" w:cs="Times New Roman"/>
          <w:kern w:val="2"/>
          <w:sz w:val="32"/>
          <w:szCs w:val="32"/>
          <w:lang w:val="zh-CN"/>
        </w:rPr>
      </w:pPr>
      <w:r>
        <w:drawing>
          <wp:inline distT="0" distB="0" distL="114300" distR="114300">
            <wp:extent cx="4581525" cy="2752725"/>
            <wp:effectExtent l="0" t="0" r="952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4581525" cy="2752725"/>
                    </a:xfrm>
                    <a:prstGeom prst="rect">
                      <a:avLst/>
                    </a:prstGeom>
                    <a:noFill/>
                    <a:ln>
                      <a:noFill/>
                    </a:ln>
                  </pic:spPr>
                </pic:pic>
              </a:graphicData>
            </a:graphic>
          </wp:inline>
        </w:drawing>
      </w:r>
    </w:p>
    <w:p>
      <w:pPr>
        <w:pStyle w:val="2"/>
        <w:ind w:left="0" w:leftChars="0" w:firstLine="320" w:firstLineChars="10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sz w:val="32"/>
          <w:szCs w:val="32"/>
          <w:lang w:val="en-US" w:eastAsia="zh-CN"/>
        </w:rPr>
        <w:t>财政拨款收支与2022年度决算对比</w:t>
      </w:r>
      <w:r>
        <w:rPr>
          <w:rFonts w:hint="eastAsia" w:ascii="Times New Roman" w:hAnsi="Times New Roman" w:eastAsia="仿宋_GB2312" w:cs="Times New Roman"/>
          <w:sz w:val="32"/>
          <w:szCs w:val="32"/>
          <w:lang w:val="en-US" w:eastAsia="zh-CN"/>
        </w:rPr>
        <w:t>分析</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单位：万元</w:t>
      </w:r>
      <w:r>
        <w:rPr>
          <w:rFonts w:hint="eastAsia" w:ascii="Times New Roman" w:hAnsi="Times New Roman" w:eastAsia="仿宋_GB2312" w:cs="Times New Roman"/>
          <w:sz w:val="32"/>
          <w:szCs w:val="32"/>
          <w:lang w:eastAsia="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年度财政拨款本年收入10,191.85万元，完成年初预算的95.18%，比年初预算减少</w:t>
      </w:r>
      <w:r>
        <w:rPr>
          <w:rFonts w:hint="eastAsia" w:ascii="Times New Roman" w:hAnsi="Times New Roman" w:eastAsia="仿宋_GB2312" w:cs="Times New Roman"/>
          <w:color w:val="auto"/>
          <w:kern w:val="2"/>
          <w:sz w:val="32"/>
          <w:szCs w:val="32"/>
          <w:lang w:val="en-US" w:eastAsia="zh-CN" w:bidi="ar-SA"/>
        </w:rPr>
        <w:t>515.78</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en-US" w:eastAsia="zh-CN" w:bidi="ar-SA"/>
        </w:rPr>
        <w:t>项目变动，收入减少</w:t>
      </w:r>
      <w:r>
        <w:rPr>
          <w:rFonts w:hint="default" w:ascii="Times New Roman" w:hAnsi="Times New Roman" w:eastAsia="仿宋_GB2312" w:cs="Times New Roman"/>
          <w:color w:val="auto"/>
          <w:kern w:val="2"/>
          <w:sz w:val="32"/>
          <w:szCs w:val="32"/>
          <w:lang w:val="zh-CN" w:eastAsia="zh-CN" w:bidi="ar-SA"/>
        </w:rPr>
        <w:t>；本年支出10,191.85万元，完成年初预算的95.18%，比年初预算减少</w:t>
      </w:r>
      <w:r>
        <w:rPr>
          <w:rFonts w:hint="eastAsia" w:ascii="Times New Roman" w:hAnsi="Times New Roman" w:eastAsia="仿宋_GB2312" w:cs="Times New Roman"/>
          <w:color w:val="auto"/>
          <w:kern w:val="2"/>
          <w:sz w:val="32"/>
          <w:szCs w:val="32"/>
          <w:lang w:val="en-US" w:eastAsia="zh-CN" w:bidi="ar-SA"/>
        </w:rPr>
        <w:t>515.78</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项目变动，支出减少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收入8,002.21万元，完成年初预算的 100.48%，比年初预算增加</w:t>
      </w:r>
      <w:r>
        <w:rPr>
          <w:rFonts w:hint="eastAsia" w:ascii="Times New Roman" w:hAnsi="Times New Roman" w:eastAsia="仿宋_GB2312" w:cs="Times New Roman"/>
          <w:kern w:val="2"/>
          <w:sz w:val="32"/>
          <w:szCs w:val="32"/>
          <w:lang w:val="en-US" w:eastAsia="zh-CN"/>
        </w:rPr>
        <w:t>38.58</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项目变动，收入增加</w:t>
      </w:r>
      <w:r>
        <w:rPr>
          <w:rFonts w:hint="default" w:ascii="Times New Roman" w:hAnsi="Times New Roman" w:eastAsia="仿宋_GB2312" w:cs="Times New Roman"/>
          <w:kern w:val="2"/>
          <w:sz w:val="32"/>
          <w:szCs w:val="32"/>
          <w:lang w:val="zh-CN"/>
        </w:rPr>
        <w:t>；本年支出8,002.21万元，完成年初预算的100.48%，比年初预算增加</w:t>
      </w:r>
      <w:r>
        <w:rPr>
          <w:rFonts w:hint="eastAsia" w:ascii="Times New Roman" w:hAnsi="Times New Roman" w:eastAsia="仿宋_GB2312" w:cs="Times New Roman"/>
          <w:kern w:val="2"/>
          <w:sz w:val="32"/>
          <w:szCs w:val="32"/>
          <w:lang w:val="en-US" w:eastAsia="zh-CN"/>
        </w:rPr>
        <w:t>38.58</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项目变动，收入增加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政府性基金预算财政拨款本年收入2,189.64万元，完成年初预算的79.8%，比年初预算减少</w:t>
      </w:r>
      <w:r>
        <w:rPr>
          <w:rFonts w:hint="eastAsia" w:ascii="Times New Roman" w:hAnsi="Times New Roman" w:eastAsia="仿宋_GB2312" w:cs="Times New Roman"/>
          <w:kern w:val="2"/>
          <w:sz w:val="32"/>
          <w:szCs w:val="32"/>
          <w:lang w:val="en-US" w:eastAsia="zh-CN"/>
        </w:rPr>
        <w:t>554.36</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项目变动，收入减少</w:t>
      </w:r>
      <w:r>
        <w:rPr>
          <w:rFonts w:hint="default" w:ascii="Times New Roman" w:hAnsi="Times New Roman" w:eastAsia="仿宋_GB2312" w:cs="Times New Roman"/>
          <w:kern w:val="2"/>
          <w:sz w:val="32"/>
          <w:szCs w:val="32"/>
          <w:lang w:val="zh-CN"/>
        </w:rPr>
        <w:t>；本年支出2,189.64万元，完成年初预算的79.8%，比年初预算减少</w:t>
      </w:r>
      <w:r>
        <w:rPr>
          <w:rFonts w:hint="eastAsia" w:ascii="Times New Roman" w:hAnsi="Times New Roman" w:eastAsia="仿宋_GB2312" w:cs="Times New Roman"/>
          <w:kern w:val="2"/>
          <w:sz w:val="32"/>
          <w:szCs w:val="32"/>
          <w:lang w:val="en-US" w:eastAsia="zh-CN"/>
        </w:rPr>
        <w:t>554.36</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en-US" w:eastAsia="zh-CN"/>
        </w:rPr>
        <w:t>项目变动，支出减少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eastAsia" w:ascii="Times New Roman" w:hAnsi="Times New Roman" w:eastAsia="仿宋_GB2312" w:cs="Times New Roman"/>
          <w:kern w:val="2"/>
          <w:sz w:val="32"/>
          <w:szCs w:val="32"/>
          <w:lang w:val="en-US" w:eastAsia="zh-CN"/>
        </w:rPr>
        <w:t>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kern w:val="2"/>
          <w:sz w:val="32"/>
          <w:szCs w:val="32"/>
          <w:lang w:val="en-US" w:eastAsia="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我部门无</w:t>
      </w:r>
      <w:r>
        <w:rPr>
          <w:rFonts w:hint="default" w:ascii="Times New Roman" w:hAnsi="Times New Roman" w:eastAsia="仿宋_GB2312" w:cs="Times New Roman"/>
          <w:kern w:val="2"/>
          <w:sz w:val="32"/>
          <w:szCs w:val="32"/>
          <w:lang w:val="zh-CN"/>
        </w:rPr>
        <w:t>国有资本经营预算财政拨款；本年支出0万元，完成年初预算的0%，</w:t>
      </w:r>
      <w:r>
        <w:rPr>
          <w:rFonts w:hint="eastAsia" w:ascii="Times New Roman" w:hAnsi="Times New Roman" w:eastAsia="仿宋_GB2312" w:cs="Times New Roman"/>
          <w:kern w:val="2"/>
          <w:sz w:val="32"/>
          <w:szCs w:val="32"/>
          <w:lang w:val="en-US" w:eastAsia="zh-CN"/>
        </w:rPr>
        <w:t>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kern w:val="2"/>
          <w:sz w:val="32"/>
          <w:szCs w:val="32"/>
          <w:lang w:val="en-US" w:eastAsia="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我部门无</w:t>
      </w:r>
      <w:r>
        <w:rPr>
          <w:rFonts w:hint="default" w:ascii="Times New Roman" w:hAnsi="Times New Roman" w:eastAsia="仿宋_GB2312" w:cs="Times New Roman"/>
          <w:kern w:val="2"/>
          <w:sz w:val="32"/>
          <w:szCs w:val="32"/>
          <w:lang w:val="zh-CN"/>
        </w:rPr>
        <w:t>国有资本经营预算财政拨款。</w:t>
      </w:r>
    </w:p>
    <w:p>
      <w:pPr>
        <w:pStyle w:val="2"/>
      </w:pPr>
      <w:r>
        <w:drawing>
          <wp:inline distT="0" distB="0" distL="114300" distR="114300">
            <wp:extent cx="4581525" cy="2752725"/>
            <wp:effectExtent l="0" t="0" r="952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4581525" cy="2752725"/>
                    </a:xfrm>
                    <a:prstGeom prst="rect">
                      <a:avLst/>
                    </a:prstGeom>
                    <a:noFill/>
                    <a:ln>
                      <a:noFill/>
                    </a:ln>
                  </pic:spPr>
                </pic:pic>
              </a:graphicData>
            </a:graphic>
          </wp:inline>
        </w:drawing>
      </w:r>
    </w:p>
    <w:p>
      <w:pPr>
        <w:pStyle w:val="2"/>
        <w:ind w:firstLine="320" w:firstLineChars="100"/>
        <w:rPr>
          <w:rFonts w:hint="default" w:ascii="Times New Roman" w:hAnsi="Times New Roman" w:eastAsia="Arial" w:cs="Times New Roman"/>
          <w:highlight w:val="none"/>
        </w:rPr>
      </w:pPr>
      <w:r>
        <w:rPr>
          <w:rFonts w:hint="default" w:ascii="Times New Roman" w:hAnsi="Times New Roman" w:eastAsia="仿宋_GB2312" w:cs="Times New Roman"/>
          <w:sz w:val="32"/>
          <w:szCs w:val="32"/>
          <w:lang w:val="en-US" w:eastAsia="zh-CN"/>
        </w:rPr>
        <w:t>财政拨款收支与年初预算数对比</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单位：万元</w:t>
      </w:r>
      <w:r>
        <w:rPr>
          <w:rFonts w:hint="eastAsia" w:ascii="Times New Roman" w:hAnsi="Times New Roman" w:eastAsia="仿宋_GB2312" w:cs="Times New Roman"/>
          <w:sz w:val="32"/>
          <w:szCs w:val="32"/>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年度财政拨款支出10,191.85万元，主要用于以下方面：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文化旅游体育与传媒（类）支出8.59万元，占0.08%</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主要是古树名木保护项目支出</w:t>
      </w:r>
      <w:r>
        <w:rPr>
          <w:rFonts w:hint="default" w:ascii="Times New Roman" w:hAnsi="Times New Roman" w:eastAsia="仿宋_GB2312" w:cs="Times New Roman"/>
          <w:color w:val="auto"/>
          <w:kern w:val="2"/>
          <w:sz w:val="32"/>
          <w:szCs w:val="32"/>
          <w:lang w:val="zh-CN" w:eastAsia="zh-CN" w:bidi="ar-SA"/>
        </w:rPr>
        <w:t>；社会保障和就业 （类）支出691.64万元，占6.79%</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主要是缴纳机关事业单位基本养老保险和退休费等</w:t>
      </w:r>
      <w:r>
        <w:rPr>
          <w:rFonts w:hint="default" w:ascii="Times New Roman" w:hAnsi="Times New Roman" w:eastAsia="仿宋_GB2312" w:cs="Times New Roman"/>
          <w:color w:val="auto"/>
          <w:kern w:val="2"/>
          <w:sz w:val="32"/>
          <w:szCs w:val="32"/>
          <w:lang w:val="zh-CN" w:eastAsia="zh-CN" w:bidi="ar-SA"/>
        </w:rPr>
        <w:t>；卫生健康（类）支出93.59万元，占0.92%</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主要是缴纳职工基本医疗保险</w:t>
      </w:r>
      <w:r>
        <w:rPr>
          <w:rFonts w:hint="default" w:ascii="Times New Roman" w:hAnsi="Times New Roman" w:eastAsia="仿宋_GB2312" w:cs="Times New Roman"/>
          <w:color w:val="auto"/>
          <w:kern w:val="2"/>
          <w:sz w:val="32"/>
          <w:szCs w:val="32"/>
          <w:lang w:val="zh-CN" w:eastAsia="zh-CN" w:bidi="ar-SA"/>
        </w:rPr>
        <w:t>；城乡社区（类）支出9,198.89万元，占90.26%</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主要是园林城市维护费、奥体公园建设项目、广场城市维护费等支出</w:t>
      </w:r>
      <w:r>
        <w:rPr>
          <w:rFonts w:hint="default" w:ascii="Times New Roman" w:hAnsi="Times New Roman" w:eastAsia="仿宋_GB2312" w:cs="Times New Roman"/>
          <w:color w:val="auto"/>
          <w:kern w:val="2"/>
          <w:sz w:val="32"/>
          <w:szCs w:val="32"/>
          <w:lang w:val="zh-CN" w:eastAsia="zh-CN" w:bidi="ar-SA"/>
        </w:rPr>
        <w:t>；住房保障（类）支出199.13万元，占1.95%</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主要是缴纳住房公积金</w:t>
      </w:r>
      <w:r>
        <w:rPr>
          <w:rFonts w:hint="default" w:ascii="Times New Roman" w:hAnsi="Times New Roman" w:eastAsia="仿宋_GB2312" w:cs="Times New Roman"/>
          <w:color w:val="auto"/>
          <w:kern w:val="2"/>
          <w:sz w:val="32"/>
          <w:szCs w:val="32"/>
          <w:lang w:val="zh-CN"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drawing>
          <wp:inline distT="0" distB="0" distL="114300" distR="114300">
            <wp:extent cx="5271770" cy="2782570"/>
            <wp:effectExtent l="0" t="0" r="508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271770" cy="2782570"/>
                    </a:xfrm>
                    <a:prstGeom prst="rect">
                      <a:avLst/>
                    </a:prstGeom>
                    <a:noFill/>
                    <a:ln>
                      <a:noFill/>
                    </a:ln>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1920" w:firstLineChars="6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0"/>
          <w:sz w:val="32"/>
          <w:szCs w:val="32"/>
          <w:lang w:val="en-US" w:eastAsia="zh-CN" w:bidi="ar-SA"/>
        </w:rPr>
        <w:t>支出</w:t>
      </w:r>
      <w:r>
        <w:rPr>
          <w:rFonts w:hint="eastAsia" w:ascii="Times New Roman" w:hAnsi="Times New Roman" w:eastAsia="仿宋_GB2312" w:cs="Times New Roman"/>
          <w:color w:val="auto"/>
          <w:kern w:val="0"/>
          <w:sz w:val="32"/>
          <w:szCs w:val="32"/>
          <w:lang w:val="en-US" w:eastAsia="zh-CN" w:bidi="ar-SA"/>
        </w:rPr>
        <w:t>决算结构分析（按功能分类）</w:t>
      </w:r>
    </w:p>
    <w:p>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年度财政拨款基本支出2,922.61万元，其中：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人员经费2,830.52万元，主要包括基本工资、津贴补贴、奖金、绩效工资、机关事业部门基本养老保险缴费、职工基本医疗保险缴费、住房公积金、其他社会保障缴费、退休费、 抚恤金、生活补助、奖励金。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92.09万元，主要包括办公费、水费、电费、邮电费、取暖费、差旅费、维修（护）费、培训费、公务接待费、劳务费、委托业务费、工会经费、福利费、公务用车运行维护费、其他交通费用、其他商品和服务支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年度“三公”经费财政拨款支出预算为7.04万元，支出决算为 3.14万元，完成预算的 44.</w:t>
      </w: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zh-CN" w:eastAsia="zh-CN" w:bidi="ar-SA"/>
        </w:rPr>
        <w:t>%，较预算减少</w:t>
      </w:r>
      <w:r>
        <w:rPr>
          <w:rFonts w:hint="eastAsia" w:ascii="Times New Roman" w:hAnsi="Times New Roman" w:eastAsia="仿宋_GB2312" w:cs="Times New Roman"/>
          <w:color w:val="auto"/>
          <w:kern w:val="2"/>
          <w:sz w:val="32"/>
          <w:szCs w:val="32"/>
          <w:lang w:val="en-US" w:eastAsia="zh-CN" w:bidi="ar-SA"/>
        </w:rPr>
        <w:t>3.9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55.4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认真落实中央“八项规定”精神，按照厉行节约要求使用公务用车和进行公务接待</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en-US" w:eastAsia="zh-CN" w:bidi="ar-SA"/>
        </w:rPr>
        <w:t>增加0.89</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增长39.56</w:t>
      </w:r>
      <w:r>
        <w:rPr>
          <w:rFonts w:hint="default" w:ascii="Times New Roman" w:hAnsi="Times New Roman" w:eastAsia="仿宋_GB2312" w:cs="Times New Roman"/>
          <w:color w:val="auto"/>
          <w:kern w:val="2"/>
          <w:sz w:val="32"/>
          <w:szCs w:val="32"/>
          <w:lang w:val="zh-CN" w:eastAsia="zh-CN" w:bidi="ar-SA"/>
        </w:rPr>
        <w:t>%，主要是疫情结束，工作步入正轨。</w:t>
      </w:r>
      <w:r>
        <w:rPr>
          <w:rFonts w:hint="eastAsia" w:ascii="Times New Roman" w:hAnsi="Times New Roman" w:eastAsia="仿宋_GB2312" w:cs="Times New Roman"/>
          <w:color w:val="auto"/>
          <w:kern w:val="2"/>
          <w:sz w:val="32"/>
          <w:szCs w:val="32"/>
          <w:lang w:val="en-US" w:eastAsia="zh-CN" w:bidi="ar-SA"/>
        </w:rPr>
        <w:t xml:space="preserve"> </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00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。因公出国（境）费支出较预算增加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未发生</w:t>
      </w:r>
      <w:r>
        <w:rPr>
          <w:rFonts w:hint="default" w:ascii="Times New Roman" w:hAnsi="Times New Roman" w:eastAsia="仿宋_GB2312" w:cs="Times New Roman"/>
          <w:color w:val="auto"/>
          <w:kern w:val="2"/>
          <w:sz w:val="32"/>
          <w:szCs w:val="32"/>
          <w:lang w:val="en-US" w:eastAsia="zh-CN" w:bidi="ar-SA"/>
        </w:rPr>
        <w:t>因公出国（境）费</w:t>
      </w:r>
      <w:r>
        <w:rPr>
          <w:rFonts w:hint="eastAsia" w:ascii="Times New Roman" w:hAnsi="Times New Roman" w:eastAsia="仿宋_GB2312" w:cs="Times New Roman"/>
          <w:color w:val="auto"/>
          <w:kern w:val="2"/>
          <w:sz w:val="32"/>
          <w:szCs w:val="32"/>
          <w:lang w:val="en-US" w:eastAsia="zh-CN" w:bidi="ar-SA"/>
        </w:rPr>
        <w:t>用</w:t>
      </w:r>
      <w:r>
        <w:rPr>
          <w:rFonts w:hint="default" w:ascii="Times New Roman" w:hAnsi="Times New Roman" w:eastAsia="仿宋_GB2312" w:cs="Times New Roman"/>
          <w:color w:val="auto"/>
          <w:kern w:val="2"/>
          <w:sz w:val="32"/>
          <w:szCs w:val="32"/>
          <w:lang w:val="en-US" w:eastAsia="zh-CN" w:bidi="ar-SA"/>
        </w:rPr>
        <w:t>。因公出国（境）团组0个、共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Arial" w:cs="Times New Roman"/>
          <w:highlight w:val="none"/>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年度公务用车购置及运行维护费预算为2.7万元，支出决算 1.61万元，完成预算的59.</w:t>
      </w:r>
      <w:r>
        <w:rPr>
          <w:rFonts w:hint="eastAsia" w:ascii="Times New Roman" w:hAnsi="Times New Roman" w:eastAsia="仿宋_GB2312" w:cs="Times New Roman"/>
          <w:color w:val="auto"/>
          <w:kern w:val="2"/>
          <w:sz w:val="32"/>
          <w:szCs w:val="32"/>
          <w:lang w:val="en-US" w:eastAsia="zh-CN" w:bidi="ar-SA"/>
        </w:rPr>
        <w:t>63</w:t>
      </w:r>
      <w:r>
        <w:rPr>
          <w:rFonts w:hint="default" w:ascii="Times New Roman" w:hAnsi="Times New Roman" w:eastAsia="仿宋_GB2312" w:cs="Times New Roman"/>
          <w:color w:val="auto"/>
          <w:kern w:val="2"/>
          <w:sz w:val="32"/>
          <w:szCs w:val="32"/>
          <w:lang w:val="zh-CN" w:eastAsia="zh-CN" w:bidi="ar-SA"/>
        </w:rPr>
        <w:t>%,较预算减少</w:t>
      </w:r>
      <w:r>
        <w:rPr>
          <w:rFonts w:hint="eastAsia" w:ascii="Times New Roman" w:hAnsi="Times New Roman" w:eastAsia="仿宋_GB2312" w:cs="Times New Roman"/>
          <w:color w:val="auto"/>
          <w:kern w:val="2"/>
          <w:sz w:val="32"/>
          <w:szCs w:val="32"/>
          <w:lang w:val="en-US" w:eastAsia="zh-CN" w:bidi="ar-SA"/>
        </w:rPr>
        <w:t>1.09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40.37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0.42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20.69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。其中：</w:t>
      </w: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未发生公务用车购置费支出</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未发生公务用车购置费支出</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1.61</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年度单位公务用车保有量2辆，发生运行维护费支出1.61万元。公车运行维护费支出较预算减少</w:t>
      </w:r>
      <w:r>
        <w:rPr>
          <w:rFonts w:hint="eastAsia" w:ascii="Times New Roman" w:hAnsi="Times New Roman" w:eastAsia="仿宋_GB2312" w:cs="Times New Roman"/>
          <w:color w:val="auto"/>
          <w:kern w:val="2"/>
          <w:sz w:val="32"/>
          <w:szCs w:val="32"/>
          <w:lang w:val="en-US" w:eastAsia="zh-CN" w:bidi="ar-SA"/>
        </w:rPr>
        <w:t>1.09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40.37</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0.42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20.69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认真落实中央“八项规定”精神，按照厉行节约要求使用公务用车</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年度公务接待费支出预算为4.34万元，支出决算1.52万元，完成预算的</w:t>
      </w:r>
      <w:r>
        <w:rPr>
          <w:rFonts w:hint="eastAsia" w:ascii="Times New Roman" w:hAnsi="Times New Roman" w:eastAsia="仿宋_GB2312" w:cs="Times New Roman"/>
          <w:color w:val="auto"/>
          <w:kern w:val="2"/>
          <w:sz w:val="32"/>
          <w:szCs w:val="32"/>
          <w:lang w:val="en-US" w:eastAsia="zh-CN" w:bidi="ar-SA"/>
        </w:rPr>
        <w:t>35.02</w:t>
      </w:r>
      <w:r>
        <w:rPr>
          <w:rFonts w:hint="default" w:ascii="Times New Roman" w:hAnsi="Times New Roman" w:eastAsia="仿宋_GB2312" w:cs="Times New Roman"/>
          <w:color w:val="auto"/>
          <w:kern w:val="2"/>
          <w:sz w:val="32"/>
          <w:szCs w:val="32"/>
          <w:lang w:val="zh-CN" w:eastAsia="zh-CN" w:bidi="ar-SA"/>
        </w:rPr>
        <w:t>%。公务接待费支出较预算减少</w:t>
      </w:r>
      <w:r>
        <w:rPr>
          <w:rFonts w:hint="eastAsia" w:ascii="Times New Roman" w:hAnsi="Times New Roman" w:eastAsia="仿宋_GB2312" w:cs="Times New Roman"/>
          <w:color w:val="auto"/>
          <w:kern w:val="2"/>
          <w:sz w:val="32"/>
          <w:szCs w:val="32"/>
          <w:lang w:val="en-US" w:eastAsia="zh-CN" w:bidi="ar-SA"/>
        </w:rPr>
        <w:t>2.82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64.98</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认真落实中央“八项规定”精神，按照厉行节约要求进行</w:t>
      </w:r>
      <w:r>
        <w:rPr>
          <w:rFonts w:hint="default" w:ascii="Times New Roman" w:hAnsi="Times New Roman" w:eastAsia="仿宋_GB2312" w:cs="Times New Roman"/>
          <w:color w:val="auto"/>
          <w:kern w:val="2"/>
          <w:sz w:val="32"/>
          <w:szCs w:val="32"/>
          <w:lang w:val="zh-CN" w:eastAsia="zh-CN" w:bidi="ar-SA"/>
        </w:rPr>
        <w:t>公务</w:t>
      </w:r>
      <w:r>
        <w:rPr>
          <w:rFonts w:hint="eastAsia" w:ascii="Times New Roman" w:hAnsi="Times New Roman" w:eastAsia="仿宋_GB2312" w:cs="Times New Roman"/>
          <w:color w:val="auto"/>
          <w:kern w:val="2"/>
          <w:sz w:val="32"/>
          <w:szCs w:val="32"/>
          <w:lang w:val="en-US" w:eastAsia="zh-CN" w:bidi="ar-SA"/>
        </w:rPr>
        <w:t>接待</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1.31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623.81</w:t>
      </w:r>
      <w:r>
        <w:rPr>
          <w:rFonts w:hint="default" w:ascii="Times New Roman" w:hAnsi="Times New Roman" w:eastAsia="仿宋_GB2312" w:cs="Times New Roman"/>
          <w:color w:val="auto"/>
          <w:kern w:val="2"/>
          <w:sz w:val="32"/>
          <w:szCs w:val="32"/>
          <w:lang w:val="zh-CN" w:eastAsia="zh-CN" w:bidi="ar-SA"/>
        </w:rPr>
        <w:t>%,主要</w:t>
      </w:r>
      <w:r>
        <w:rPr>
          <w:rFonts w:hint="eastAsia" w:ascii="Times New Roman" w:hAnsi="Times New Roman" w:eastAsia="仿宋_GB2312" w:cs="Times New Roman"/>
          <w:color w:val="auto"/>
          <w:kern w:val="2"/>
          <w:sz w:val="32"/>
          <w:szCs w:val="32"/>
          <w:lang w:val="en-US" w:eastAsia="zh-CN" w:bidi="ar-SA"/>
        </w:rPr>
        <w:t>原因</w:t>
      </w:r>
      <w:r>
        <w:rPr>
          <w:rFonts w:hint="default" w:ascii="Times New Roman" w:hAnsi="Times New Roman" w:eastAsia="仿宋_GB2312" w:cs="Times New Roman"/>
          <w:color w:val="auto"/>
          <w:kern w:val="2"/>
          <w:sz w:val="32"/>
          <w:szCs w:val="32"/>
          <w:lang w:val="zh-CN" w:eastAsia="zh-CN" w:bidi="ar-SA"/>
        </w:rPr>
        <w:t>是疫情结束，恢复正常公务接待工作。本年度共发生公务接待</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33</w:t>
      </w:r>
      <w:r>
        <w:rPr>
          <w:rFonts w:hint="default" w:ascii="Times New Roman" w:hAnsi="Times New Roman" w:eastAsia="仿宋_GB2312" w:cs="Times New Roman"/>
          <w:color w:val="auto"/>
          <w:kern w:val="2"/>
          <w:sz w:val="32"/>
          <w:szCs w:val="32"/>
          <w:lang w:val="zh-CN" w:eastAsia="zh-CN" w:bidi="ar-SA"/>
        </w:rPr>
        <w:t>人次。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Times New Roman" w:hAnsi="Times New Roman" w:eastAsia="仿宋_GB2312" w:cs="Times New Roman"/>
          <w:color w:val="auto"/>
          <w:kern w:val="2"/>
          <w:sz w:val="32"/>
          <w:szCs w:val="32"/>
          <w:lang w:val="en-US" w:eastAsia="zh-CN" w:bidi="ar-SA"/>
        </w:rPr>
        <w:t>本部门为财政补助事业单位，无机关运行经费，较2022年度无变化。</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年度政府采购支出总额1,734.06万元，从采购类型来看，政府采购货物支出903.47万元、政府采购工程支出141.55万元、政府采购服务支出689.04万元。授予中小企业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1,519.21万元，占政府采购支出总额的87.61%，其中授予小微企业合同金额1,443.59万元，占政府采购支出总额的83.25%。</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年12月31日，本部门共有车辆96辆，比上年增加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辆，主要是</w:t>
      </w:r>
      <w:r>
        <w:rPr>
          <w:rFonts w:hint="eastAsia" w:ascii="Times New Roman" w:hAnsi="Times New Roman" w:eastAsia="仿宋_GB2312" w:cs="Times New Roman"/>
          <w:color w:val="auto"/>
          <w:kern w:val="2"/>
          <w:sz w:val="32"/>
          <w:szCs w:val="32"/>
          <w:lang w:val="en-US" w:eastAsia="zh-CN" w:bidi="ar-SA"/>
        </w:rPr>
        <w:t>本年车辆数量无变化</w:t>
      </w:r>
      <w:r>
        <w:rPr>
          <w:rFonts w:hint="default" w:ascii="Times New Roman" w:hAnsi="Times New Roman" w:eastAsia="仿宋_GB2312" w:cs="Times New Roman"/>
          <w:color w:val="auto"/>
          <w:kern w:val="2"/>
          <w:sz w:val="32"/>
          <w:szCs w:val="32"/>
          <w:lang w:val="zh-CN" w:eastAsia="zh-CN" w:bidi="ar-SA"/>
        </w:rPr>
        <w:t>。其中，应急保障用车1辆，其他用车95辆，其他用车主要是其他用车主要是</w:t>
      </w:r>
      <w:r>
        <w:rPr>
          <w:rFonts w:hint="eastAsia" w:ascii="Times New Roman" w:hAnsi="Times New Roman" w:eastAsia="仿宋_GB2312" w:cs="Times New Roman"/>
          <w:color w:val="auto"/>
          <w:kern w:val="2"/>
          <w:sz w:val="32"/>
          <w:szCs w:val="32"/>
          <w:lang w:val="en-US" w:eastAsia="zh-CN" w:bidi="ar-SA"/>
        </w:rPr>
        <w:t>绿化维护用洒水车、农用车等</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5079.6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63.48</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园林城市维护费（基金）、广场城市维护费（基金）</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2189.64</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奥体公园建设项目</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广场城市维护费（基金）”</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25</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5079.6</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2189.64</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en-US" w:eastAsia="zh-CN" w:bidi="ar-SA"/>
        </w:rPr>
        <w:t>预期绩效目标均基本完成并取得了显著成效。</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en-US" w:eastAsia="zh-CN" w:bidi="ar-SA"/>
        </w:rPr>
        <w:t>广场城市维护费（基金）</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个项目绩效自评结果。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en-US" w:eastAsia="zh-CN" w:bidi="ar-SA"/>
        </w:rPr>
        <w:t>园林项目工程款</w:t>
      </w:r>
      <w:r>
        <w:rPr>
          <w:rFonts w:hint="default" w:ascii="Times New Roman" w:hAnsi="Times New Roman" w:eastAsia="仿宋_GB2312" w:cs="Times New Roman"/>
          <w:color w:val="auto"/>
          <w:kern w:val="2"/>
          <w:sz w:val="32"/>
          <w:szCs w:val="32"/>
          <w:lang w:val="zh-CN" w:eastAsia="zh-CN" w:bidi="ar-SA"/>
        </w:rPr>
        <w:t>项目绩效自评得分为</w:t>
      </w:r>
      <w:r>
        <w:rPr>
          <w:rFonts w:hint="eastAsia" w:ascii="Times New Roman" w:hAnsi="Times New Roman" w:eastAsia="仿宋_GB2312" w:cs="Times New Roman"/>
          <w:color w:val="auto"/>
          <w:kern w:val="2"/>
          <w:sz w:val="32"/>
          <w:szCs w:val="32"/>
          <w:lang w:val="en-US" w:eastAsia="zh-CN" w:bidi="ar-SA"/>
        </w:rPr>
        <w:t>99.5</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1440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1424.98</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98.96</w:t>
      </w:r>
      <w:r>
        <w:rPr>
          <w:rFonts w:hint="default" w:ascii="Times New Roman" w:hAnsi="Times New Roman" w:eastAsia="仿宋_GB2312" w:cs="Times New Roman"/>
          <w:color w:val="auto"/>
          <w:kern w:val="2"/>
          <w:sz w:val="32"/>
          <w:szCs w:val="32"/>
          <w:lang w:val="zh-CN" w:eastAsia="zh-CN" w:bidi="ar-SA"/>
        </w:rPr>
        <w:t>%。项目绩效目标完成情况：按照评审结果支付工程尾款，按照施工进度支付工程款。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附绩效自评表</w:t>
      </w:r>
      <w:r>
        <w:rPr>
          <w:rFonts w:hint="eastAsia" w:ascii="Times New Roman" w:hAnsi="Times New Roman" w:eastAsia="仿宋_GB2312" w:cs="Times New Roman"/>
          <w:color w:val="auto"/>
          <w:kern w:val="2"/>
          <w:sz w:val="32"/>
          <w:szCs w:val="32"/>
          <w:lang w:val="en-US"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eastAsia" w:ascii="Times New Roman" w:hAnsi="Times New Roman" w:eastAsia="仿宋_GB2312" w:cs="Times New Roman"/>
          <w:color w:val="auto"/>
          <w:kern w:val="2"/>
          <w:sz w:val="32"/>
          <w:szCs w:val="32"/>
          <w:lang w:val="en-US" w:eastAsia="zh-CN" w:bidi="ar-SA"/>
        </w:rPr>
      </w:pPr>
      <w:r>
        <w:drawing>
          <wp:inline distT="0" distB="0" distL="114300" distR="114300">
            <wp:extent cx="5266055" cy="2386965"/>
            <wp:effectExtent l="0" t="0" r="10795" b="133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5266055" cy="2386965"/>
                    </a:xfrm>
                    <a:prstGeom prst="rect">
                      <a:avLst/>
                    </a:prstGeom>
                    <a:noFill/>
                    <a:ln>
                      <a:noFill/>
                    </a:ln>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广场城市维护费（基金）</w:t>
      </w:r>
      <w:r>
        <w:rPr>
          <w:rFonts w:hint="default" w:ascii="Times New Roman" w:hAnsi="Times New Roman" w:eastAsia="仿宋_GB2312" w:cs="Times New Roman"/>
          <w:color w:val="auto"/>
          <w:kern w:val="2"/>
          <w:sz w:val="32"/>
          <w:szCs w:val="32"/>
          <w:lang w:val="zh-CN" w:eastAsia="zh-CN" w:bidi="ar-SA"/>
        </w:rPr>
        <w:t>项目绩效自评情况</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zh-CN" w:eastAsia="zh-CN" w:bidi="ar-SA"/>
        </w:rPr>
        <w:t>根据年初设定的绩效目标，</w:t>
      </w:r>
      <w:r>
        <w:rPr>
          <w:rFonts w:hint="eastAsia" w:ascii="Times New Roman" w:hAnsi="Times New Roman" w:eastAsia="仿宋_GB2312" w:cs="Times New Roman"/>
          <w:color w:val="auto"/>
          <w:kern w:val="2"/>
          <w:sz w:val="32"/>
          <w:szCs w:val="32"/>
          <w:lang w:val="en-US" w:eastAsia="zh-CN" w:bidi="ar-SA"/>
        </w:rPr>
        <w:t>广场城市维护费（基金）</w:t>
      </w:r>
      <w:r>
        <w:rPr>
          <w:rFonts w:hint="default" w:ascii="Times New Roman" w:hAnsi="Times New Roman" w:eastAsia="仿宋_GB2312" w:cs="Times New Roman"/>
          <w:color w:val="auto"/>
          <w:kern w:val="2"/>
          <w:sz w:val="32"/>
          <w:szCs w:val="32"/>
          <w:lang w:val="zh-CN" w:eastAsia="zh-CN" w:bidi="ar-SA"/>
        </w:rPr>
        <w:t>绩效自评得分为</w:t>
      </w:r>
      <w:r>
        <w:rPr>
          <w:rFonts w:hint="eastAsia" w:ascii="Times New Roman" w:hAnsi="Times New Roman" w:eastAsia="仿宋_GB2312" w:cs="Times New Roman"/>
          <w:color w:val="auto"/>
          <w:kern w:val="2"/>
          <w:sz w:val="32"/>
          <w:szCs w:val="32"/>
          <w:lang w:val="en-US" w:eastAsia="zh-CN" w:bidi="ar-SA"/>
        </w:rPr>
        <w:t>96.54</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eastAsia" w:ascii="Times New Roman" w:hAnsi="Times New Roman" w:eastAsia="仿宋_GB2312" w:cs="Times New Roman"/>
          <w:color w:val="auto"/>
          <w:kern w:val="2"/>
          <w:sz w:val="32"/>
          <w:szCs w:val="32"/>
          <w:lang w:val="en-US" w:eastAsia="zh-CN" w:bidi="ar-SA"/>
        </w:rPr>
        <w:t>220</w:t>
      </w:r>
      <w:r>
        <w:rPr>
          <w:rFonts w:hint="default" w:ascii="Times New Roman" w:hAnsi="Times New Roman" w:eastAsia="仿宋_GB2312" w:cs="Times New Roman"/>
          <w:color w:val="auto"/>
          <w:kern w:val="2"/>
          <w:sz w:val="32"/>
          <w:szCs w:val="32"/>
          <w:lang w:val="zh-CN" w:eastAsia="zh-CN" w:bidi="ar-SA"/>
        </w:rPr>
        <w:t>万元，执行数为</w:t>
      </w:r>
      <w:r>
        <w:rPr>
          <w:rFonts w:hint="eastAsia" w:ascii="Times New Roman" w:hAnsi="Times New Roman" w:eastAsia="仿宋_GB2312" w:cs="Times New Roman"/>
          <w:color w:val="auto"/>
          <w:kern w:val="2"/>
          <w:sz w:val="32"/>
          <w:szCs w:val="32"/>
          <w:lang w:val="en-US" w:eastAsia="zh-CN" w:bidi="ar-SA"/>
        </w:rPr>
        <w:t>188.32</w:t>
      </w:r>
      <w:r>
        <w:rPr>
          <w:rFonts w:hint="default" w:ascii="Times New Roman" w:hAnsi="Times New Roman" w:eastAsia="仿宋_GB2312" w:cs="Times New Roman"/>
          <w:color w:val="auto"/>
          <w:kern w:val="2"/>
          <w:sz w:val="32"/>
          <w:szCs w:val="32"/>
          <w:lang w:val="zh-CN" w:eastAsia="zh-CN" w:bidi="ar-SA"/>
        </w:rPr>
        <w:t>万元，完成预算的</w:t>
      </w:r>
      <w:r>
        <w:rPr>
          <w:rFonts w:hint="eastAsia" w:ascii="Times New Roman" w:hAnsi="Times New Roman" w:eastAsia="仿宋_GB2312" w:cs="Times New Roman"/>
          <w:color w:val="auto"/>
          <w:kern w:val="2"/>
          <w:sz w:val="32"/>
          <w:szCs w:val="32"/>
          <w:lang w:val="en-US" w:eastAsia="zh-CN" w:bidi="ar-SA"/>
        </w:rPr>
        <w:t>85.6</w:t>
      </w:r>
      <w:r>
        <w:rPr>
          <w:rFonts w:hint="default" w:ascii="Times New Roman" w:hAnsi="Times New Roman" w:eastAsia="仿宋_GB2312" w:cs="Times New Roman"/>
          <w:color w:val="auto"/>
          <w:kern w:val="2"/>
          <w:sz w:val="32"/>
          <w:szCs w:val="32"/>
          <w:lang w:val="zh-CN" w:eastAsia="zh-CN" w:bidi="ar-SA"/>
        </w:rPr>
        <w:t>%。项目绩效目标完成情况：项目绩效目标完成情况：提供更加优美的休闲健身场所，进一步提升</w:t>
      </w:r>
      <w:r>
        <w:rPr>
          <w:rFonts w:hint="eastAsia" w:ascii="Times New Roman" w:hAnsi="Times New Roman" w:eastAsia="仿宋_GB2312" w:cs="Times New Roman"/>
          <w:color w:val="auto"/>
          <w:kern w:val="2"/>
          <w:sz w:val="32"/>
          <w:szCs w:val="32"/>
          <w:lang w:val="en-US" w:eastAsia="zh-CN" w:bidi="ar-SA"/>
        </w:rPr>
        <w:t>了</w:t>
      </w:r>
      <w:r>
        <w:rPr>
          <w:rFonts w:hint="default" w:ascii="Times New Roman" w:hAnsi="Times New Roman" w:eastAsia="仿宋_GB2312" w:cs="Times New Roman"/>
          <w:color w:val="auto"/>
          <w:kern w:val="2"/>
          <w:sz w:val="32"/>
          <w:szCs w:val="32"/>
          <w:lang w:val="zh-CN" w:eastAsia="zh-CN" w:bidi="ar-SA"/>
        </w:rPr>
        <w:t>广场管理水平。</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eastAsia"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附绩效自评表</w:t>
      </w:r>
      <w:r>
        <w:rPr>
          <w:rFonts w:hint="eastAsia" w:ascii="Times New Roman" w:hAnsi="Times New Roman" w:eastAsia="仿宋_GB2312" w:cs="Times New Roman"/>
          <w:color w:val="auto"/>
          <w:kern w:val="2"/>
          <w:sz w:val="32"/>
          <w:szCs w:val="32"/>
          <w:lang w:val="en-US" w:eastAsia="zh-CN" w:bidi="ar-SA"/>
        </w:rPr>
        <w: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eastAsia" w:ascii="Times New Roman" w:hAnsi="Times New Roman" w:eastAsia="仿宋_GB2312" w:cs="Times New Roman"/>
          <w:color w:val="auto"/>
          <w:kern w:val="2"/>
          <w:sz w:val="32"/>
          <w:szCs w:val="32"/>
          <w:lang w:val="en-US" w:eastAsia="zh-CN" w:bidi="ar-SA"/>
        </w:rPr>
      </w:pPr>
      <w:r>
        <w:drawing>
          <wp:inline distT="0" distB="0" distL="114300" distR="114300">
            <wp:extent cx="5263515" cy="2753360"/>
            <wp:effectExtent l="0" t="0" r="13335"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5263515" cy="2753360"/>
                    </a:xfrm>
                    <a:prstGeom prst="rect">
                      <a:avLst/>
                    </a:prstGeom>
                    <a:noFill/>
                    <a:ln>
                      <a:noFill/>
                    </a:ln>
                  </pic:spPr>
                </pic:pic>
              </a:graphicData>
            </a:graphic>
          </wp:inline>
        </w:drawing>
      </w: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w:t>
      </w:r>
      <w:r>
        <w:rPr>
          <w:rFonts w:hint="eastAsia" w:ascii="Times New Roman" w:hAnsi="Times New Roman" w:eastAsia="仿宋_GB2312" w:cs="Times New Roman"/>
          <w:b/>
          <w:bCs/>
          <w:sz w:val="32"/>
          <w:szCs w:val="32"/>
          <w:lang w:val="en-US" w:eastAsia="zh-CN"/>
        </w:rPr>
        <w:t>重点</w:t>
      </w:r>
      <w:r>
        <w:rPr>
          <w:rFonts w:hint="default" w:ascii="Times New Roman" w:hAnsi="Times New Roman" w:eastAsia="仿宋_GB2312" w:cs="Times New Roman"/>
          <w:b/>
          <w:bCs/>
          <w:sz w:val="32"/>
          <w:szCs w:val="32"/>
        </w:rPr>
        <w:t>评价项目绩效评价结果</w:t>
      </w:r>
    </w:p>
    <w:p>
      <w:pPr>
        <w:pStyle w:val="26"/>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rPr>
      </w:pPr>
      <w:r>
        <w:rPr>
          <w:rFonts w:hint="eastAsia" w:ascii="Times New Roman" w:hAnsi="Times New Roman" w:eastAsia="仿宋_GB2312" w:cs="Times New Roman"/>
          <w:color w:val="auto"/>
          <w:kern w:val="2"/>
          <w:sz w:val="32"/>
          <w:szCs w:val="32"/>
          <w:lang w:val="en-US" w:eastAsia="zh-CN" w:bidi="ar-SA"/>
        </w:rPr>
        <w:t>奥体公园建设项目，资金到位数1000万元，预算执行数1000万元，资金来源为财政资金拨款，资金性质为一般公共预算，完成了种植土回填、地形整理、水电管网铺设、多功能运动场、北部公厕主体建设及植物材料的种植工作，实现了年度绩效目标。</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Times New Roman" w:hAnsi="Times New Roman" w:eastAsia="仿宋_GB2312" w:cs="Times New Roman"/>
          <w:sz w:val="32"/>
          <w:szCs w:val="32"/>
          <w:lang w:val="en-US" w:eastAsia="zh-CN"/>
        </w:rPr>
        <w:t>国有资本经营预算财政拨款支出</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val="en-US" w:eastAsia="zh-CN"/>
        </w:rPr>
        <w:t>公开08</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D961388-2D11-476B-A5AA-D595717F31F2}"/>
  </w:font>
  <w:font w:name="黑体">
    <w:panose1 w:val="02010609060101010101"/>
    <w:charset w:val="86"/>
    <w:family w:val="auto"/>
    <w:pitch w:val="default"/>
    <w:sig w:usb0="800002BF" w:usb1="38CF7CFA" w:usb2="00000016" w:usb3="00000000" w:csb0="00040001" w:csb1="00000000"/>
    <w:embedRegular r:id="rId2" w:fontKey="{27C211EC-A270-4600-B2D3-D0F422726DB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D63C6E8-F07D-4110-B6A3-F1FCB55E0D46}"/>
  </w:font>
  <w:font w:name="仿宋">
    <w:panose1 w:val="02010609060101010101"/>
    <w:charset w:val="86"/>
    <w:family w:val="modern"/>
    <w:pitch w:val="default"/>
    <w:sig w:usb0="800002BF" w:usb1="38CF7CFA" w:usb2="00000016" w:usb3="00000000" w:csb0="00040001" w:csb1="00000000"/>
    <w:embedRegular r:id="rId4" w:fontKey="{E8B1CAB5-A476-4B50-8D86-CF3A2F562CB4}"/>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22DCC4C0-10C1-4BB6-A551-92183210C34D}"/>
  </w:font>
  <w:font w:name="思源黑体 CN Heavy">
    <w:altName w:val="黑体"/>
    <w:panose1 w:val="00000000000000000000"/>
    <w:charset w:val="86"/>
    <w:family w:val="swiss"/>
    <w:pitch w:val="default"/>
    <w:sig w:usb0="00000000" w:usb1="00000000" w:usb2="00000016" w:usb3="00000000" w:csb0="00060107" w:csb1="00000000"/>
    <w:embedRegular r:id="rId6" w:fontKey="{99E78229-3455-4A41-88B8-51B1C7865098}"/>
  </w:font>
  <w:font w:name="楷体_GB2312">
    <w:panose1 w:val="02010609030101010101"/>
    <w:charset w:val="86"/>
    <w:family w:val="auto"/>
    <w:pitch w:val="default"/>
    <w:sig w:usb0="00000000" w:usb1="00000000" w:usb2="00000000" w:usb3="00000000" w:csb0="00000000" w:csb1="00000000"/>
    <w:embedRegular r:id="rId7" w:fontKey="{D9485506-9229-4205-838C-822BC5901CA1}"/>
  </w:font>
  <w:font w:name="仿宋_GB2312">
    <w:panose1 w:val="02010609030101010101"/>
    <w:charset w:val="86"/>
    <w:family w:val="auto"/>
    <w:pitch w:val="default"/>
    <w:sig w:usb0="00000000" w:usb1="00000000" w:usb2="00000000" w:usb3="00000000" w:csb0="00000000" w:csb1="00000000"/>
    <w:embedRegular r:id="rId8" w:fontKey="{9E05BA48-92F9-4F19-9B4B-A1BC3E7F4BF2}"/>
  </w:font>
  <w:font w:name="ArialUnicodeMS">
    <w:altName w:val="Malgun Gothic"/>
    <w:panose1 w:val="00000000000000000000"/>
    <w:charset w:val="81"/>
    <w:family w:val="auto"/>
    <w:pitch w:val="default"/>
    <w:sig w:usb0="00000000" w:usb1="00000000" w:usb2="00000010" w:usb3="00000000" w:csb0="00080001" w:csb1="00000000"/>
    <w:embedRegular r:id="rId9" w:fontKey="{6F26B4A9-A5BF-492B-B179-71CFECDA6E07}"/>
  </w:font>
  <w:font w:name="方正仿宋_GB2312">
    <w:panose1 w:val="02000000000000000000"/>
    <w:charset w:val="86"/>
    <w:family w:val="auto"/>
    <w:pitch w:val="default"/>
    <w:sig w:usb0="00000000" w:usb1="00000000" w:usb2="00000000" w:usb3="00000000" w:csb0="00000000" w:csb1="00000000"/>
    <w:embedRegular r:id="rId10" w:fontKey="{F5D1EFFF-2C93-417B-BFAD-D4F994E7022D}"/>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172E3989"/>
    <w:multiLevelType w:val="singleLevel"/>
    <w:tmpl w:val="172E3989"/>
    <w:lvl w:ilvl="0" w:tentative="0">
      <w:start w:val="3"/>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gsImhkaWQiOiI5YTIwYTJiYTk5NjYyYTEzNzNhNjhmZWFlMTE3Zjk3MS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16C2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0ED22FB"/>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703F4"/>
    <w:rsid w:val="1E3B4E26"/>
    <w:rsid w:val="1EDF707D"/>
    <w:rsid w:val="1F2E6D39"/>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092022"/>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9A0DF2"/>
    <w:rsid w:val="24F25212"/>
    <w:rsid w:val="251B0465"/>
    <w:rsid w:val="254B0AC6"/>
    <w:rsid w:val="25571AB6"/>
    <w:rsid w:val="25B40AD6"/>
    <w:rsid w:val="25BE7872"/>
    <w:rsid w:val="25BF702A"/>
    <w:rsid w:val="261257B9"/>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167D39"/>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33242F"/>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unhideWhenUsed/>
    <w:qFormat/>
    <w:uiPriority w:val="99"/>
    <w:pPr>
      <w:spacing w:line="480" w:lineRule="auto"/>
      <w:ind w:left="420" w:left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纯文本1"/>
    <w:basedOn w:val="1"/>
    <w:qFormat/>
    <w:uiPriority w:val="0"/>
    <w:rPr>
      <w:rFonts w:hint="eastAsia" w:ascii="宋体" w:hAnsi="Courier New"/>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1.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43</Pages>
  <Words>9970</Words>
  <Characters>22801</Characters>
  <Lines>86</Lines>
  <Paragraphs>24</Paragraphs>
  <TotalTime>46</TotalTime>
  <ScaleCrop>false</ScaleCrop>
  <LinksUpToDate>false</LinksUpToDate>
  <CharactersWithSpaces>23431</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2024-09-19T07:57:00Z</cp:lastPrinted>
  <dcterms:modified xsi:type="dcterms:W3CDTF">2024-09-26T01:08:04Z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