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6dSH190AAAAMAQAADwAAAAAAAAAB&#10;ACAAAAAiAAAAZHJzL2Rvd25yZXYueG1sUEsBAhQAFAAAAAgAh07iQIDMaE2aAwAAMwwAAA4AAAAA&#10;AAAAAQAgAAAALAEAAGRycy9lMm9Eb2MueG1sUEsFBgAAAAAGAAYAWQEAADgHA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UHC8XbAAAACwEAAA8AAAAAAAAAAQAgAAAA&#10;IgAAAGRycy9kb3ducmV2LnhtbFBLAQIUABQAAAAIAIdO4kBqgGFVJQMAAPYIAAAOAAAAAAAAAAEA&#10;IAAAACoBAABkcnMvZTJvRG9jLnhtbFBLBQYAAAAABgAGAFkBAADB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qWWv2AAAAAsBAAAPAAAAAAAA&#10;AAEAIAAAACIAAABkcnMvZG93bnJldi54bWxQSwECFAAUAAAACACHTuJA5W10YaABAAARAwAADgAA&#10;AAAAAAABACAAAAAnAQAAZHJzL2Uyb0RvYy54bWxQSwUGAAAAAAYABgBZAQAAOQU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509001</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：衡水市园林中心(本级)</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val="en-US" w:eastAsia="zh-CN"/>
        </w:rPr>
        <w:t>十</w:t>
      </w:r>
      <w:r>
        <w:rPr>
          <w:rFonts w:hint="eastAsia" w:ascii="楷体_GB2312" w:hAnsi="楷体_GB2312" w:eastAsia="楷体_GB2312" w:cs="楷体_GB2312"/>
          <w:color w:val="000000"/>
          <w:sz w:val="40"/>
          <w:szCs w:val="40"/>
        </w:rPr>
        <w:t>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spacing w:line="600" w:lineRule="auto"/>
        <w:jc w:val="center"/>
        <w:rPr>
          <w:rFonts w:hint="eastAsia" w:ascii="楷体_GB2312" w:hAnsi="楷体_GB2312" w:eastAsia="楷体_GB2312" w:cs="楷体_GB2312"/>
          <w:color w:val="000000"/>
          <w:sz w:val="40"/>
          <w:szCs w:val="40"/>
        </w:rPr>
      </w:pPr>
    </w:p>
    <w:p>
      <w:pPr>
        <w:rPr>
          <w:rFonts w:hint="eastAsia" w:ascii="黑体" w:hAnsi="黑体" w:eastAsia="黑体" w:cs="黑体"/>
          <w:b/>
          <w:bCs/>
          <w:sz w:val="32"/>
          <w:szCs w:val="36"/>
          <w:highlight w:val="yellow"/>
        </w:rPr>
      </w:pPr>
    </w:p>
    <w:p>
      <w:pPr>
        <w:rPr>
          <w:rFonts w:ascii="黑体" w:hAnsi="黑体" w:eastAsia="黑体" w:cs="黑体"/>
          <w:b/>
          <w:bCs/>
          <w:sz w:val="72"/>
          <w:szCs w:val="96"/>
        </w:rPr>
      </w:pPr>
    </w:p>
    <w:p>
      <w:pPr>
        <w:rPr>
          <w:rFonts w:ascii="黑体" w:hAnsi="黑体" w:eastAsia="黑体" w:cs="黑体"/>
          <w:b/>
          <w:bCs/>
          <w:sz w:val="72"/>
          <w:szCs w:val="96"/>
        </w:rPr>
      </w:pPr>
    </w:p>
    <w:p>
      <w:pPr>
        <w:rPr>
          <w:rFonts w:ascii="黑体" w:hAnsi="黑体" w:eastAsia="黑体" w:cs="黑体"/>
          <w:b/>
          <w:bCs/>
          <w:sz w:val="72"/>
          <w:szCs w:val="96"/>
        </w:rPr>
      </w:pPr>
      <w:r>
        <w:rPr>
          <w:rFonts w:hint="eastAsia" w:ascii="黑体" w:hAnsi="黑体" w:eastAsia="黑体" w:cs="黑体"/>
          <w:b/>
          <w:bCs/>
          <w:sz w:val="72"/>
          <w:szCs w:val="96"/>
        </w:rPr>
        <w:t>2023年度部门决算公开文本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snapToGrid w:val="0"/>
        <w:jc w:val="cente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 xml:space="preserve">  衡水市园林中心（本级）</w:t>
      </w:r>
    </w:p>
    <w:p>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w:t>
      </w:r>
      <w: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十</w:t>
      </w: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tabs>
          <w:tab w:val="left" w:pos="2728"/>
        </w:tabs>
        <w:jc w:val="center"/>
        <w:rPr>
          <w:rFonts w:ascii="黑体" w:hAnsi="Times New Roman" w:eastAsia="黑体" w:cs="Times New Roman"/>
          <w:sz w:val="48"/>
          <w:szCs w:val="48"/>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pPr>
        <w:snapToGrid w:val="0"/>
        <w:spacing w:line="520" w:lineRule="exact"/>
        <w:ind w:firstLine="360" w:firstLineChars="200"/>
        <w:rPr>
          <w:rFonts w:hint="eastAsia" w:ascii="仿宋_GB2312" w:hAnsi="仿宋" w:eastAsia="仿宋_GB2312"/>
          <w:sz w:val="32"/>
          <w:szCs w:val="32"/>
        </w:rPr>
      </w:pPr>
      <w:r>
        <w:rPr>
          <w:rFonts w:hint="default" w:ascii="Arial" w:hAnsi="Arial" w:eastAsia="Arial" w:cs="Arial"/>
          <w:i w:val="0"/>
          <w:iCs w:val="0"/>
          <w:caps w:val="0"/>
          <w:color w:val="000000"/>
          <w:spacing w:val="0"/>
          <w:sz w:val="18"/>
          <w:szCs w:val="18"/>
          <w:highlight w:val="none"/>
          <w:shd w:val="clear" w:fill="FFFFFF"/>
        </w:rPr>
        <w:t> </w:t>
      </w:r>
      <w:r>
        <w:rPr>
          <w:rFonts w:hint="eastAsia" w:ascii="仿宋_GB2312" w:hAnsi="仿宋" w:eastAsia="仿宋_GB2312"/>
          <w:sz w:val="32"/>
          <w:szCs w:val="32"/>
          <w:lang w:val="en-US" w:eastAsia="zh-CN"/>
        </w:rPr>
        <w:t>（一）</w:t>
      </w:r>
      <w:r>
        <w:rPr>
          <w:rFonts w:hint="default" w:ascii="仿宋_GB2312" w:hAnsi="仿宋" w:eastAsia="仿宋_GB2312"/>
          <w:sz w:val="32"/>
          <w:szCs w:val="32"/>
          <w:lang w:val="en-US" w:eastAsia="zh-CN"/>
        </w:rPr>
        <w:t>承担市区主干道绿地及10公顷以上市级综合性公园、专类园等城市公园的养护管理；</w:t>
      </w:r>
    </w:p>
    <w:p>
      <w:pPr>
        <w:snapToGrid w:val="0"/>
        <w:spacing w:line="520" w:lineRule="exact"/>
        <w:ind w:firstLine="640" w:firstLineChars="200"/>
        <w:rPr>
          <w:rFonts w:hint="default" w:ascii="仿宋_GB2312" w:hAnsi="仿宋" w:eastAsia="仿宋_GB2312"/>
          <w:sz w:val="32"/>
          <w:szCs w:val="32"/>
        </w:rPr>
      </w:pPr>
      <w:r>
        <w:rPr>
          <w:rFonts w:hint="eastAsia" w:ascii="仿宋_GB2312" w:hAnsi="仿宋" w:eastAsia="仿宋_GB2312"/>
          <w:sz w:val="32"/>
          <w:szCs w:val="32"/>
          <w:lang w:val="en-US" w:eastAsia="zh-CN"/>
        </w:rPr>
        <w:t>（二）</w:t>
      </w:r>
      <w:r>
        <w:rPr>
          <w:rFonts w:hint="default" w:ascii="仿宋_GB2312" w:hAnsi="仿宋" w:eastAsia="仿宋_GB2312"/>
          <w:sz w:val="32"/>
          <w:szCs w:val="32"/>
          <w:lang w:val="en-US" w:eastAsia="zh-CN"/>
        </w:rPr>
        <w:t>负责园博园、植物园的养护管理；</w:t>
      </w:r>
    </w:p>
    <w:p>
      <w:pPr>
        <w:snapToGrid w:val="0"/>
        <w:spacing w:line="520" w:lineRule="exact"/>
        <w:ind w:firstLine="640" w:firstLineChars="200"/>
        <w:rPr>
          <w:rFonts w:hint="default" w:ascii="仿宋_GB2312" w:hAnsi="仿宋" w:eastAsia="仿宋_GB2312"/>
          <w:sz w:val="32"/>
          <w:szCs w:val="32"/>
        </w:rPr>
      </w:pPr>
      <w:r>
        <w:rPr>
          <w:rFonts w:hint="eastAsia" w:ascii="仿宋_GB2312" w:hAnsi="仿宋" w:eastAsia="仿宋_GB2312"/>
          <w:sz w:val="32"/>
          <w:szCs w:val="32"/>
          <w:lang w:val="en-US" w:eastAsia="zh-CN"/>
        </w:rPr>
        <w:t>（三）</w:t>
      </w:r>
      <w:r>
        <w:rPr>
          <w:rFonts w:hint="default" w:ascii="仿宋_GB2312" w:hAnsi="仿宋" w:eastAsia="仿宋_GB2312"/>
          <w:sz w:val="32"/>
          <w:szCs w:val="32"/>
          <w:lang w:val="en-US" w:eastAsia="zh-CN"/>
        </w:rPr>
        <w:t>负责滏阳河段两岸及滏阳生态文化公园广场的绿化养护、补植种植、绿化带保洁工作；</w:t>
      </w:r>
    </w:p>
    <w:p>
      <w:pPr>
        <w:snapToGrid w:val="0"/>
        <w:spacing w:line="520" w:lineRule="exact"/>
        <w:ind w:firstLine="640" w:firstLineChars="200"/>
        <w:rPr>
          <w:rFonts w:hint="default" w:ascii="仿宋_GB2312" w:hAnsi="仿宋" w:eastAsia="仿宋_GB2312"/>
          <w:sz w:val="32"/>
          <w:szCs w:val="32"/>
        </w:rPr>
      </w:pPr>
      <w:r>
        <w:rPr>
          <w:rFonts w:hint="eastAsia" w:ascii="仿宋_GB2312" w:hAnsi="仿宋" w:eastAsia="仿宋_GB2312"/>
          <w:sz w:val="32"/>
          <w:szCs w:val="32"/>
          <w:lang w:val="en-US" w:eastAsia="zh-CN"/>
        </w:rPr>
        <w:t>（四）</w:t>
      </w:r>
      <w:r>
        <w:rPr>
          <w:rFonts w:hint="default" w:ascii="仿宋_GB2312" w:hAnsi="仿宋" w:eastAsia="仿宋_GB2312"/>
          <w:sz w:val="32"/>
          <w:szCs w:val="32"/>
          <w:lang w:val="en-US" w:eastAsia="zh-CN"/>
        </w:rPr>
        <w:t>负责对城市规划区内防护绿地、单位附属绿地、居住区绿地、生产绿地的建设管理工作提供技术服务保障，负责市区内全民义务植树协调服务工作；</w:t>
      </w:r>
    </w:p>
    <w:p>
      <w:pPr>
        <w:snapToGrid w:val="0"/>
        <w:spacing w:line="520" w:lineRule="exact"/>
        <w:ind w:firstLine="640" w:firstLineChars="200"/>
        <w:rPr>
          <w:rFonts w:hint="default" w:ascii="仿宋_GB2312" w:hAnsi="仿宋" w:eastAsia="仿宋_GB2312"/>
          <w:sz w:val="32"/>
          <w:szCs w:val="32"/>
        </w:rPr>
      </w:pPr>
      <w:r>
        <w:rPr>
          <w:rFonts w:hint="eastAsia" w:ascii="仿宋_GB2312" w:hAnsi="仿宋" w:eastAsia="仿宋_GB2312"/>
          <w:sz w:val="32"/>
          <w:szCs w:val="32"/>
          <w:lang w:val="en-US" w:eastAsia="zh-CN"/>
        </w:rPr>
        <w:t>（五）</w:t>
      </w:r>
      <w:r>
        <w:rPr>
          <w:rFonts w:hint="default" w:ascii="仿宋_GB2312" w:hAnsi="仿宋" w:eastAsia="仿宋_GB2312"/>
          <w:sz w:val="32"/>
          <w:szCs w:val="32"/>
          <w:lang w:val="en-US" w:eastAsia="zh-CN"/>
        </w:rPr>
        <w:t>承担园林城市（县城、城区）、生态园林城市、星级公园、园林式单位（居住区、街道）创建相关工作；</w:t>
      </w:r>
    </w:p>
    <w:p>
      <w:pPr>
        <w:snapToGrid w:val="0"/>
        <w:spacing w:line="520" w:lineRule="exact"/>
        <w:ind w:firstLine="640" w:firstLineChars="200"/>
        <w:rPr>
          <w:rFonts w:hint="default" w:ascii="仿宋_GB2312" w:hAnsi="仿宋" w:eastAsia="仿宋_GB2312"/>
          <w:sz w:val="32"/>
          <w:szCs w:val="32"/>
        </w:rPr>
      </w:pPr>
      <w:r>
        <w:rPr>
          <w:rFonts w:hint="eastAsia" w:ascii="仿宋_GB2312" w:hAnsi="仿宋" w:eastAsia="仿宋_GB2312"/>
          <w:sz w:val="32"/>
          <w:szCs w:val="32"/>
          <w:lang w:val="en-US" w:eastAsia="zh-CN"/>
        </w:rPr>
        <w:t>（六）</w:t>
      </w:r>
      <w:r>
        <w:rPr>
          <w:rFonts w:hint="default" w:ascii="仿宋_GB2312" w:hAnsi="仿宋" w:eastAsia="仿宋_GB2312"/>
          <w:sz w:val="32"/>
          <w:szCs w:val="32"/>
          <w:lang w:val="en-US" w:eastAsia="zh-CN"/>
        </w:rPr>
        <w:t>负责开展城市古树名木保护研究与技术服务；</w:t>
      </w:r>
    </w:p>
    <w:p>
      <w:pPr>
        <w:snapToGrid w:val="0"/>
        <w:spacing w:line="520" w:lineRule="exact"/>
        <w:ind w:firstLine="640" w:firstLineChars="200"/>
        <w:rPr>
          <w:rFonts w:hint="default" w:ascii="仿宋_GB2312" w:hAnsi="仿宋" w:eastAsia="仿宋_GB2312"/>
          <w:sz w:val="32"/>
          <w:szCs w:val="32"/>
        </w:rPr>
      </w:pPr>
      <w:r>
        <w:rPr>
          <w:rFonts w:hint="eastAsia" w:ascii="仿宋_GB2312" w:hAnsi="仿宋" w:eastAsia="仿宋_GB2312"/>
          <w:sz w:val="32"/>
          <w:szCs w:val="32"/>
          <w:lang w:val="en-US" w:eastAsia="zh-CN"/>
        </w:rPr>
        <w:t>（七）</w:t>
      </w:r>
      <w:r>
        <w:rPr>
          <w:rFonts w:hint="default" w:ascii="仿宋_GB2312" w:hAnsi="仿宋" w:eastAsia="仿宋_GB2312"/>
          <w:sz w:val="32"/>
          <w:szCs w:val="32"/>
          <w:lang w:val="en-US" w:eastAsia="zh-CN"/>
        </w:rPr>
        <w:t>负责参与研究园林绿化工程方面的技术标准；</w:t>
      </w:r>
    </w:p>
    <w:p>
      <w:pPr>
        <w:snapToGrid w:val="0"/>
        <w:spacing w:line="520" w:lineRule="exact"/>
        <w:ind w:firstLine="640" w:firstLineChars="200"/>
        <w:rPr>
          <w:rFonts w:hint="default" w:ascii="仿宋_GB2312" w:hAnsi="仿宋" w:eastAsia="仿宋_GB2312"/>
          <w:sz w:val="32"/>
          <w:szCs w:val="32"/>
        </w:rPr>
      </w:pPr>
      <w:r>
        <w:rPr>
          <w:rFonts w:hint="eastAsia" w:ascii="仿宋_GB2312" w:hAnsi="仿宋" w:eastAsia="仿宋_GB2312"/>
          <w:sz w:val="32"/>
          <w:szCs w:val="32"/>
          <w:lang w:val="en-US" w:eastAsia="zh-CN"/>
        </w:rPr>
        <w:t>（八）</w:t>
      </w:r>
      <w:r>
        <w:rPr>
          <w:rFonts w:hint="default" w:ascii="仿宋_GB2312" w:hAnsi="仿宋" w:eastAsia="仿宋_GB2312"/>
          <w:sz w:val="32"/>
          <w:szCs w:val="32"/>
          <w:lang w:val="en-US" w:eastAsia="zh-CN"/>
        </w:rPr>
        <w:t>承担城市园林绿化科学研究，推广园林绿化先进技术，组织重大园林绿化科技项目攻关及成果推广；</w:t>
      </w:r>
    </w:p>
    <w:p>
      <w:pPr>
        <w:snapToGrid w:val="0"/>
        <w:spacing w:line="520" w:lineRule="exact"/>
        <w:ind w:firstLine="640" w:firstLineChars="200"/>
        <w:rPr>
          <w:rFonts w:hint="default" w:ascii="仿宋_GB2312" w:hAnsi="仿宋" w:eastAsia="仿宋_GB2312"/>
          <w:sz w:val="32"/>
          <w:szCs w:val="32"/>
        </w:rPr>
      </w:pPr>
      <w:r>
        <w:rPr>
          <w:rFonts w:hint="eastAsia" w:ascii="仿宋_GB2312" w:hAnsi="仿宋" w:eastAsia="仿宋_GB2312"/>
          <w:sz w:val="32"/>
          <w:szCs w:val="32"/>
          <w:lang w:val="en-US" w:eastAsia="zh-CN"/>
        </w:rPr>
        <w:t>（九）</w:t>
      </w:r>
      <w:r>
        <w:rPr>
          <w:rFonts w:hint="default" w:ascii="仿宋_GB2312" w:hAnsi="仿宋" w:eastAsia="仿宋_GB2312"/>
          <w:sz w:val="32"/>
          <w:szCs w:val="32"/>
          <w:lang w:val="en-US" w:eastAsia="zh-CN"/>
        </w:rPr>
        <w:t>负责开展园林绿化方面的国际国内交流与合作；</w:t>
      </w:r>
    </w:p>
    <w:p>
      <w:pPr>
        <w:snapToGrid w:val="0"/>
        <w:spacing w:line="52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lang w:val="en-US" w:eastAsia="zh-CN"/>
        </w:rPr>
        <w:t>（十）</w:t>
      </w:r>
      <w:r>
        <w:rPr>
          <w:rFonts w:hint="default" w:ascii="仿宋_GB2312" w:hAnsi="仿宋" w:eastAsia="仿宋_GB2312"/>
          <w:sz w:val="32"/>
          <w:szCs w:val="32"/>
          <w:lang w:val="en-US" w:eastAsia="zh-CN"/>
        </w:rPr>
        <w:t>承办市委市政府交办的其他事项。</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Arial" w:hAnsi="Arial" w:eastAsia="Arial" w:cs="Arial"/>
          <w:i w:val="0"/>
          <w:iCs w:val="0"/>
          <w:caps w:val="0"/>
          <w:color w:val="auto"/>
          <w:spacing w:val="0"/>
          <w:sz w:val="32"/>
          <w:szCs w:val="32"/>
          <w:highlight w:val="yellow"/>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 xml:space="preserve">”）共 </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2"/>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044"/>
        <w:gridCol w:w="2648"/>
        <w:gridCol w:w="2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044"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648"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903"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044" w:type="dxa"/>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衡水市园林中心</w:t>
            </w:r>
            <w:r>
              <w:rPr>
                <w:rFonts w:hint="eastAsia" w:ascii="仿宋_GB2312" w:hAnsi="Calibri" w:eastAsia="仿宋_GB2312" w:cs="ArialUnicodeMS"/>
                <w:kern w:val="0"/>
                <w:sz w:val="28"/>
                <w:szCs w:val="28"/>
              </w:rPr>
              <w:t>(本级)</w:t>
            </w:r>
          </w:p>
        </w:tc>
        <w:tc>
          <w:tcPr>
            <w:tcW w:w="2648" w:type="dxa"/>
          </w:tcPr>
          <w:p>
            <w:pPr>
              <w:spacing w:line="560" w:lineRule="exact"/>
              <w:jc w:val="both"/>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财政补助事业单位</w:t>
            </w:r>
          </w:p>
        </w:tc>
        <w:tc>
          <w:tcPr>
            <w:tcW w:w="2903"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2"/>
        <w:tblW w:w="11033" w:type="dxa"/>
        <w:tblInd w:w="-158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119"/>
        <w:gridCol w:w="1826"/>
        <w:gridCol w:w="1339"/>
        <w:gridCol w:w="623"/>
        <w:gridCol w:w="15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1" w:hRule="atLeast"/>
        </w:trPr>
        <w:tc>
          <w:tcPr>
            <w:tcW w:w="11033" w:type="dxa"/>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7" w:hRule="atLeast"/>
        </w:trPr>
        <w:tc>
          <w:tcPr>
            <w:tcW w:w="11033" w:type="dxa"/>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1" w:hRule="atLeast"/>
        </w:trPr>
        <w:tc>
          <w:tcPr>
            <w:tcW w:w="4581" w:type="dxa"/>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编制部门（单位）：衡水市园林中心(本级)</w:t>
            </w:r>
          </w:p>
        </w:tc>
        <w:tc>
          <w:tcPr>
            <w:tcW w:w="2945" w:type="dxa"/>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507" w:type="dxa"/>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4" w:hRule="atLeast"/>
        </w:trPr>
        <w:tc>
          <w:tcPr>
            <w:tcW w:w="5700" w:type="dxa"/>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333" w:type="dxa"/>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73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6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545"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73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6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545"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73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7,755.49</w:t>
            </w:r>
          </w:p>
        </w:tc>
        <w:tc>
          <w:tcPr>
            <w:tcW w:w="316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54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73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1,991.53</w:t>
            </w:r>
          </w:p>
        </w:tc>
        <w:tc>
          <w:tcPr>
            <w:tcW w:w="316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54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73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6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54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73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6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54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73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6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54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73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6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54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73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6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54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73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6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54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646.92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73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6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54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86.94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73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6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54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73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6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54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8,819.77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73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6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54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73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6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54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6" w:hRule="atLeast"/>
        </w:trPr>
        <w:tc>
          <w:tcPr>
            <w:tcW w:w="3346"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730"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65"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3"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545"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73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6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54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73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6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54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73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6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54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73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6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54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73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6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54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73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6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54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6" w:hRule="atLeast"/>
        </w:trPr>
        <w:tc>
          <w:tcPr>
            <w:tcW w:w="3346"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730"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65"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3"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545"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73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6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54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73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6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54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73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6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54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73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6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54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73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6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54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73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9,747.02</w:t>
            </w:r>
          </w:p>
        </w:tc>
        <w:tc>
          <w:tcPr>
            <w:tcW w:w="316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54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9,747.02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73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6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54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73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6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54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73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6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54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73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9,747.02</w:t>
            </w:r>
          </w:p>
        </w:tc>
        <w:tc>
          <w:tcPr>
            <w:tcW w:w="316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54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9,747.02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033" w:type="dxa"/>
            <w:gridSpan w:val="8"/>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2"/>
        <w:tblW w:w="923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编制部门（单位）：衡水市园林中心(本级)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9,747.02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9,747.02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文化旅游体育与传媒支出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文化和旅游</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2070199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其他文化和旅游支出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646.92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646.92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638.00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638.00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事业单位离退休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406.53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406.53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231.47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231.47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抚恤</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死亡抚恤</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86.94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86.94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86.94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86.94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86.94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86.94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8,819.77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8,819.77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城乡社区公共设施</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642.00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642.00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其他城乡社区公共设施支出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642.00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642.00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城乡社区环境卫生</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6,186.24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6,186.24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2120501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城乡社区环境卫生</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6,186.24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6,186.24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21213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城市基础设施配套费安排的支出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1,991.53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1,991.53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2121302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城市环境卫生</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1,991.53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1,991.53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184.80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184.80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184.80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184.80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184.80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184.80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2"/>
        <w:tblW w:w="934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346" w:type="dxa"/>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编制部门（单位）：衡水市园林中心(本级)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8"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8"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9,747.02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2,714.48</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7,032.53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文化旅游体育与传媒支出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文化和旅游</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其他文化和旅游支出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646.92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646.92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638.00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638.00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406.53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406.53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231.47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231.47</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死亡抚恤</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86.94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86.94</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86.94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86.94</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86.94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86.94</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8,819.77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1,795.83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7,023.94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642.00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642.00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其他城乡社区公共设施支出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642.00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642.00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6,186.24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1,795.83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4,390.41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6,186.24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1,795.83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4,390.41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城市基础设施配套费安排的支出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1,991.53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1,991.53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城市环境卫生</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1,991.53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1,991.53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184.80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184.80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184.80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184.80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184.80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184.80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11168" w:type="dxa"/>
        <w:tblInd w:w="-156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982"/>
        <w:gridCol w:w="9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168"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168"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5694" w:type="dxa"/>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编制部门（单位）：衡水市园林中心(本级)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953"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35" w:type="dxa"/>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133" w:type="dxa"/>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982"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915"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982"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915"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82"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915" w:type="dxa"/>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7,755.49</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8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15"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1,991.53</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8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15"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8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15"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8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15"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8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15"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8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15"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8.59</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8.59</w:t>
            </w:r>
          </w:p>
        </w:tc>
        <w:tc>
          <w:tcPr>
            <w:tcW w:w="98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15"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646.92</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646.92</w:t>
            </w:r>
          </w:p>
        </w:tc>
        <w:tc>
          <w:tcPr>
            <w:tcW w:w="98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15"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86.94</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86.94</w:t>
            </w:r>
          </w:p>
        </w:tc>
        <w:tc>
          <w:tcPr>
            <w:tcW w:w="98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15"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8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15"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8,819.77</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6,828.24</w:t>
            </w:r>
          </w:p>
        </w:tc>
        <w:tc>
          <w:tcPr>
            <w:tcW w:w="98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1,991.53</w:t>
            </w:r>
          </w:p>
        </w:tc>
        <w:tc>
          <w:tcPr>
            <w:tcW w:w="915"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82"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15" w:type="dxa"/>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8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1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8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1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8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1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8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1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8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1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8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1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184.80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184.80</w:t>
            </w:r>
          </w:p>
        </w:tc>
        <w:tc>
          <w:tcPr>
            <w:tcW w:w="98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1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8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1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8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1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8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1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8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15"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82"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15" w:type="dxa"/>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8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15"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8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15"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9,747.02</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9,747.02</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7,755.49</w:t>
            </w:r>
          </w:p>
        </w:tc>
        <w:tc>
          <w:tcPr>
            <w:tcW w:w="98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1,991.53</w:t>
            </w:r>
          </w:p>
        </w:tc>
        <w:tc>
          <w:tcPr>
            <w:tcW w:w="915"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c>
          <w:tcPr>
            <w:tcW w:w="98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15" w:type="dxa"/>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8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15"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8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15"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8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15"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9,747.02</w:t>
            </w:r>
          </w:p>
        </w:tc>
        <w:tc>
          <w:tcPr>
            <w:tcW w:w="2098" w:type="dxa"/>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9,747.02</w:t>
            </w: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7,755.49</w:t>
            </w:r>
          </w:p>
          <w:p>
            <w:pPr>
              <w:jc w:val="right"/>
              <w:rPr>
                <w:rFonts w:hint="default" w:ascii="Times New Roman" w:hAnsi="Times New Roman" w:eastAsia="宋体" w:cs="Times New Roman"/>
                <w:i w:val="0"/>
                <w:iCs w:val="0"/>
                <w:color w:val="000000"/>
                <w:sz w:val="20"/>
                <w:szCs w:val="20"/>
                <w:highlight w:val="none"/>
                <w:u w:val="none"/>
              </w:rPr>
            </w:pPr>
          </w:p>
        </w:tc>
        <w:tc>
          <w:tcPr>
            <w:tcW w:w="982"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1,991.53</w:t>
            </w:r>
          </w:p>
        </w:tc>
        <w:tc>
          <w:tcPr>
            <w:tcW w:w="915" w:type="dxa"/>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168" w:type="dxa"/>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2"/>
        <w:tblW w:w="8772"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9"/>
        <w:gridCol w:w="3416"/>
        <w:gridCol w:w="333"/>
        <w:gridCol w:w="982"/>
        <w:gridCol w:w="1037"/>
        <w:gridCol w:w="383"/>
        <w:gridCol w:w="17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8772" w:type="dxa"/>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8772" w:type="dxa"/>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4658"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编制部门（单位）：衡水市园林中心(本级)</w:t>
            </w:r>
          </w:p>
        </w:tc>
        <w:tc>
          <w:tcPr>
            <w:tcW w:w="2019" w:type="dxa"/>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095" w:type="dxa"/>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5" w:hRule="atLeast"/>
        </w:trPr>
        <w:tc>
          <w:tcPr>
            <w:tcW w:w="432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4447"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90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341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15"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420"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712"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7" w:hRule="atLeast"/>
        </w:trPr>
        <w:tc>
          <w:tcPr>
            <w:tcW w:w="90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341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315"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2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712"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90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341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315"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2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712"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32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712"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32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7,755.49</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2,714.48</w:t>
            </w: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5,041.00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文化旅游体育与传媒支出</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8.59</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文化和旅游</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8.59</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2070199</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其他文化和旅游支出</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8.59</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646.92</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646.92</w:t>
            </w: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638.00</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638.00</w:t>
            </w: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406.53</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406.53</w:t>
            </w: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231.47</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231.47</w:t>
            </w: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w:t>
            </w: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2080801</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死亡抚恤</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w:t>
            </w: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86.94</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86.94</w:t>
            </w: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86.94</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86.94</w:t>
            </w: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86.94</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86.94</w:t>
            </w: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6,828.24</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1,795.83</w:t>
            </w: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5,032.41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642.00</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2120399</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其他城乡社区公共设施支出</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642.00</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6,186.24</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1,795.83</w:t>
            </w: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4,390.41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2120501</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6,186.24</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1,795.83</w:t>
            </w: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4,390.41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184.80</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184.80</w:t>
            </w: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184.80</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184.80</w:t>
            </w: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184.80</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184.80</w:t>
            </w: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772" w:type="dxa"/>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11179"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8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11179"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179"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5200" w:type="dxa"/>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编制部门（单位）：衡水市园林中心(本级)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016"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3798"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381" w:type="dxa"/>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861"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2,215.30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83.58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721.06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23.46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128.64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369.28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478.91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232.12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0.74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86.29</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15.55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14.20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4.50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184.80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415.61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3.83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406.53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6.01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2.92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2.37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14.31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0.15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6.19</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5.26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77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2,630.91</w:t>
            </w:r>
          </w:p>
        </w:tc>
        <w:tc>
          <w:tcPr>
            <w:tcW w:w="6520" w:type="dxa"/>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861"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83.58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1179" w:type="dxa"/>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2"/>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编制部门（单位）：衡水市园林中心(本级)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1,991.53</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1,991.53</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1,991.53</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1,991.53</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1,991.53</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1,991.53</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城市基础设施配套费安排的支出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1,991.53</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1,991.53</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1,991.53</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2121302</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城市环境卫生</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1,991.53</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1,991.53</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1,991.53</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2"/>
        <w:tblW w:w="80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8041"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8041"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2748" w:type="dxa"/>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编制部门（单位）：衡水市园林中心(本级)</w:t>
            </w:r>
          </w:p>
        </w:tc>
        <w:tc>
          <w:tcPr>
            <w:tcW w:w="2680" w:type="dxa"/>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613"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4044"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3997" w:type="dxa"/>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4044"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3997" w:type="dxa"/>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17"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322" w:type="dxa"/>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17" w:type="dxa"/>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22"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44" w:type="dxa"/>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332"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44"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2" w:type="dxa"/>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041"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仿宋_GB2312" w:hAnsi="宋体" w:eastAsia="仿宋_GB2312"/>
          <w:b/>
          <w:color w:val="auto"/>
          <w:kern w:val="0"/>
          <w:sz w:val="32"/>
          <w:szCs w:val="32"/>
          <w:highlight w:val="none"/>
          <w:lang w:val="en-US" w:eastAsia="zh-CN"/>
        </w:rPr>
      </w:pPr>
      <w:r>
        <w:rPr>
          <w:rFonts w:hint="eastAsia" w:ascii="仿宋_GB2312" w:hAnsi="宋体" w:eastAsia="仿宋_GB2312"/>
          <w:b/>
          <w:color w:val="auto"/>
          <w:kern w:val="0"/>
          <w:sz w:val="32"/>
          <w:szCs w:val="32"/>
          <w:highlight w:val="none"/>
          <w:lang w:val="en-US" w:eastAsia="zh-CN"/>
        </w:rPr>
        <w:t>本单位本年度无相关支出情况，按要求以空表列示。</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596" w:type="dxa"/>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编制部门（单位）：衡水市园林中心(本级)</w:t>
            </w:r>
          </w:p>
        </w:tc>
        <w:tc>
          <w:tcPr>
            <w:tcW w:w="2166"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5.84</w:t>
            </w:r>
          </w:p>
        </w:tc>
        <w:tc>
          <w:tcPr>
            <w:tcW w:w="12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1.50</w:t>
            </w: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063"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1.50</w:t>
            </w:r>
          </w:p>
        </w:tc>
        <w:tc>
          <w:tcPr>
            <w:tcW w:w="77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4.34</w:t>
            </w:r>
          </w:p>
        </w:tc>
        <w:tc>
          <w:tcPr>
            <w:tcW w:w="85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2.65</w:t>
            </w:r>
          </w:p>
        </w:tc>
        <w:tc>
          <w:tcPr>
            <w:tcW w:w="113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1.13</w:t>
            </w: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1.13</w:t>
            </w:r>
          </w:p>
        </w:tc>
        <w:tc>
          <w:tcPr>
            <w:tcW w:w="11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bookmarkStart w:id="0" w:name="_GoBack"/>
      <w:bookmarkEnd w:id="0"/>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kern w:val="2"/>
          <w:sz w:val="32"/>
          <w:szCs w:val="32"/>
          <w:lang w:eastAsia="zh-CN"/>
        </w:rPr>
        <w:t>本单位2023年度收、支总计（含结转和结余）</w:t>
      </w:r>
      <w:r>
        <w:rPr>
          <w:rFonts w:hint="default" w:ascii="Times New Roman" w:hAnsi="Times New Roman" w:eastAsia="仿宋_GB2312" w:cs="Times New Roman"/>
          <w:kern w:val="2"/>
          <w:sz w:val="32"/>
          <w:szCs w:val="32"/>
          <w:lang w:val="zh-CN" w:eastAsia="zh-CN"/>
        </w:rPr>
        <w:t>9,747.02</w:t>
      </w:r>
      <w:r>
        <w:rPr>
          <w:rFonts w:hint="default" w:ascii="Times New Roman" w:hAnsi="Times New Roman" w:eastAsia="仿宋_GB2312" w:cs="Times New Roman"/>
          <w:kern w:val="2"/>
          <w:sz w:val="32"/>
          <w:szCs w:val="32"/>
          <w:lang w:eastAsia="zh-CN"/>
        </w:rPr>
        <w:t>万元。与2022年度决算相比，收支各增加</w:t>
      </w:r>
      <w:r>
        <w:rPr>
          <w:rFonts w:hint="eastAsia" w:ascii="仿宋_GB2312" w:hAnsi="仿宋" w:eastAsia="仿宋_GB2312" w:cs="Times New Roman"/>
          <w:sz w:val="32"/>
          <w:szCs w:val="32"/>
          <w:lang w:val="en-US" w:eastAsia="zh-CN"/>
        </w:rPr>
        <w:t>1971.8</w:t>
      </w:r>
      <w:r>
        <w:rPr>
          <w:rFonts w:hint="default" w:ascii="Times New Roman" w:hAnsi="Times New Roman" w:eastAsia="仿宋_GB2312" w:cs="Times New Roman"/>
          <w:kern w:val="2"/>
          <w:sz w:val="32"/>
          <w:szCs w:val="32"/>
          <w:lang w:eastAsia="zh-CN"/>
        </w:rPr>
        <w:t>万元，增长</w:t>
      </w:r>
      <w:r>
        <w:rPr>
          <w:rFonts w:hint="eastAsia" w:ascii="Times New Roman" w:hAnsi="Times New Roman" w:eastAsia="仿宋_GB2312" w:cs="Times New Roman"/>
          <w:kern w:val="2"/>
          <w:sz w:val="32"/>
          <w:szCs w:val="32"/>
          <w:lang w:val="en-US" w:eastAsia="zh-CN"/>
        </w:rPr>
        <w:t>25.36</w:t>
      </w:r>
      <w:r>
        <w:rPr>
          <w:rFonts w:hint="default" w:ascii="Times New Roman" w:hAnsi="Times New Roman" w:eastAsia="仿宋_GB2312" w:cs="Times New Roman"/>
          <w:kern w:val="2"/>
          <w:sz w:val="32"/>
          <w:szCs w:val="32"/>
          <w:lang w:eastAsia="zh-CN"/>
        </w:rPr>
        <w:t>%，主要原因是</w:t>
      </w:r>
      <w:r>
        <w:rPr>
          <w:rFonts w:hint="eastAsia" w:ascii="仿宋_GB2312" w:hAnsi="仿宋" w:eastAsia="仿宋_GB2312" w:cs="Times New Roman"/>
          <w:sz w:val="32"/>
          <w:szCs w:val="32"/>
          <w:lang w:val="en-US" w:eastAsia="zh-CN"/>
        </w:rPr>
        <w:t>2023年项目变动，收支增加</w:t>
      </w:r>
      <w:r>
        <w:rPr>
          <w:rFonts w:hint="default" w:ascii="Times New Roman" w:hAnsi="Times New Roman" w:eastAsia="仿宋_GB2312" w:cs="Times New Roman"/>
          <w:kern w:val="2"/>
          <w:sz w:val="32"/>
          <w:szCs w:val="32"/>
          <w:lang w:eastAsia="zh-CN"/>
        </w:rPr>
        <w:t>。</w:t>
      </w:r>
    </w:p>
    <w:p>
      <w:pPr>
        <w:pStyle w:val="2"/>
      </w:pPr>
      <w:r>
        <w:drawing>
          <wp:inline distT="0" distB="0" distL="114300" distR="114300">
            <wp:extent cx="4581525" cy="2752725"/>
            <wp:effectExtent l="0" t="0" r="9525" b="952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4581525" cy="2752725"/>
                    </a:xfrm>
                    <a:prstGeom prst="rect">
                      <a:avLst/>
                    </a:prstGeom>
                    <a:noFill/>
                    <a:ln>
                      <a:noFill/>
                    </a:ln>
                  </pic:spPr>
                </pic:pic>
              </a:graphicData>
            </a:graphic>
          </wp:inline>
        </w:drawing>
      </w:r>
    </w:p>
    <w:p>
      <w:pPr>
        <w:pStyle w:val="2"/>
        <w:ind w:firstLine="640" w:firstLineChars="200"/>
        <w:rPr>
          <w:rFonts w:hint="default" w:ascii="Times New Roman" w:hAnsi="Times New Roman" w:eastAsia="Arial" w:cs="Times New Roman"/>
          <w:i w:val="0"/>
          <w:iCs w:val="0"/>
          <w:caps w:val="0"/>
          <w:color w:val="000000"/>
          <w:spacing w:val="0"/>
          <w:sz w:val="18"/>
          <w:szCs w:val="18"/>
          <w:highlight w:val="none"/>
          <w:shd w:val="clear" w:fill="FFFFFF"/>
        </w:rPr>
      </w:pPr>
      <w:r>
        <w:rPr>
          <w:rFonts w:hint="default" w:ascii="Times New Roman" w:hAnsi="Times New Roman" w:eastAsia="仿宋_GB2312" w:cs="Times New Roman"/>
          <w:kern w:val="2"/>
          <w:sz w:val="32"/>
          <w:szCs w:val="32"/>
          <w:lang w:eastAsia="zh-CN"/>
        </w:rPr>
        <w:t>202</w:t>
      </w:r>
      <w:r>
        <w:rPr>
          <w:rFonts w:hint="eastAsia" w:ascii="Times New Roman" w:hAnsi="Times New Roman" w:eastAsia="仿宋_GB2312" w:cs="Times New Roman"/>
          <w:kern w:val="2"/>
          <w:sz w:val="32"/>
          <w:szCs w:val="32"/>
          <w:lang w:val="en-US" w:eastAsia="zh-CN"/>
        </w:rPr>
        <w:t>2</w:t>
      </w:r>
      <w:r>
        <w:rPr>
          <w:rFonts w:hint="default" w:ascii="Times New Roman" w:hAnsi="Times New Roman" w:eastAsia="仿宋_GB2312" w:cs="Times New Roman"/>
          <w:kern w:val="2"/>
          <w:sz w:val="32"/>
          <w:szCs w:val="32"/>
          <w:lang w:eastAsia="zh-CN"/>
        </w:rPr>
        <w:t>-202</w:t>
      </w:r>
      <w:r>
        <w:rPr>
          <w:rFonts w:hint="eastAsia"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eastAsia="zh-CN"/>
        </w:rPr>
        <w:t>年收支对比情况</w:t>
      </w:r>
      <w:r>
        <w:rPr>
          <w:rFonts w:hint="eastAsia" w:ascii="Times New Roman" w:hAnsi="Times New Roman" w:eastAsia="仿宋_GB2312" w:cs="Times New Roman"/>
          <w:kern w:val="2"/>
          <w:sz w:val="32"/>
          <w:szCs w:val="32"/>
          <w:lang w:eastAsia="zh-CN"/>
        </w:rPr>
        <w:t>（</w:t>
      </w:r>
      <w:r>
        <w:rPr>
          <w:rFonts w:hint="eastAsia" w:ascii="Times New Roman" w:hAnsi="Times New Roman" w:eastAsia="仿宋_GB2312" w:cs="Times New Roman"/>
          <w:kern w:val="2"/>
          <w:sz w:val="32"/>
          <w:szCs w:val="32"/>
          <w:lang w:val="en-US" w:eastAsia="zh-CN"/>
        </w:rPr>
        <w:t>单位：万元</w:t>
      </w:r>
      <w:r>
        <w:rPr>
          <w:rFonts w:hint="eastAsia" w:ascii="Times New Roman" w:hAnsi="Times New Roman" w:eastAsia="仿宋_GB2312" w:cs="Times New Roman"/>
          <w:kern w:val="2"/>
          <w:sz w:val="32"/>
          <w:szCs w:val="32"/>
          <w:lang w:eastAsia="zh-CN"/>
        </w:rPr>
        <w:t>）</w:t>
      </w: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9,747.02</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，其中：财政拨款收入9,747.02万元，占100%；上级补助收入0万元，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eastAsia" w:ascii="Times New Roman" w:hAnsi="Times New Roman" w:eastAsia="仿宋_GB2312" w:cs="Times New Roman"/>
          <w:kern w:val="2"/>
          <w:sz w:val="32"/>
          <w:szCs w:val="32"/>
          <w:lang w:val="zh-CN" w:eastAsia="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9,747.02万元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2,714.48万元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占27.85%；</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7,032.53万元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占72.15%；</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pPr>
        <w:pStyle w:val="2"/>
        <w:ind w:left="0" w:leftChars="0" w:firstLine="0" w:firstLineChars="0"/>
      </w:pPr>
      <w:r>
        <w:drawing>
          <wp:inline distT="0" distB="0" distL="114300" distR="114300">
            <wp:extent cx="4572000" cy="2743200"/>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7"/>
                    <a:stretch>
                      <a:fillRect/>
                    </a:stretch>
                  </pic:blipFill>
                  <pic:spPr>
                    <a:xfrm>
                      <a:off x="0" y="0"/>
                      <a:ext cx="4572000" cy="2743200"/>
                    </a:xfrm>
                    <a:prstGeom prst="rect">
                      <a:avLst/>
                    </a:prstGeom>
                    <a:noFill/>
                    <a:ln>
                      <a:noFill/>
                    </a:ln>
                  </pic:spPr>
                </pic:pic>
              </a:graphicData>
            </a:graphic>
          </wp:inline>
        </w:drawing>
      </w:r>
    </w:p>
    <w:p>
      <w:pPr>
        <w:pStyle w:val="2"/>
        <w:ind w:left="0" w:leftChars="0" w:firstLine="320" w:firstLineChars="100"/>
        <w:rPr>
          <w:rFonts w:hint="default"/>
          <w:lang w:val="zh-CN"/>
        </w:rPr>
      </w:pPr>
      <w:r>
        <w:rPr>
          <w:rFonts w:hint="default" w:ascii="Times New Roman" w:hAnsi="Times New Roman" w:eastAsia="仿宋_GB2312" w:cs="Times New Roman"/>
          <w:sz w:val="32"/>
          <w:szCs w:val="32"/>
        </w:rPr>
        <w:t>支出决算构成情况（按支出性质）</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单位：万元</w:t>
      </w:r>
      <w:r>
        <w:rPr>
          <w:rFonts w:hint="eastAsia" w:ascii="Times New Roman" w:hAnsi="Times New Roman" w:eastAsia="仿宋_GB2312" w:cs="Times New Roman"/>
          <w:sz w:val="32"/>
          <w:szCs w:val="32"/>
          <w:lang w:eastAsia="zh-CN"/>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年度财政拨款本年收入9,747.02</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元,比上年增加</w:t>
      </w:r>
      <w:r>
        <w:rPr>
          <w:rFonts w:hint="eastAsia" w:ascii="Times New Roman" w:hAnsi="Times New Roman" w:eastAsia="仿宋_GB2312" w:cs="Times New Roman"/>
          <w:color w:val="auto"/>
          <w:kern w:val="2"/>
          <w:sz w:val="32"/>
          <w:szCs w:val="32"/>
          <w:lang w:val="en-US" w:eastAsia="zh-CN" w:bidi="ar-SA"/>
        </w:rPr>
        <w:t>1971.8</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25.36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项目变动，收入增加</w:t>
      </w:r>
      <w:r>
        <w:rPr>
          <w:rFonts w:hint="default" w:ascii="Times New Roman" w:hAnsi="Times New Roman" w:eastAsia="仿宋_GB2312" w:cs="Times New Roman"/>
          <w:color w:val="auto"/>
          <w:kern w:val="2"/>
          <w:sz w:val="32"/>
          <w:szCs w:val="32"/>
          <w:lang w:val="zh-CN" w:eastAsia="zh-CN" w:bidi="ar-SA"/>
        </w:rPr>
        <w:t>；本年支出 9,747.02万元，比上年增加</w:t>
      </w:r>
      <w:r>
        <w:rPr>
          <w:rFonts w:hint="eastAsia" w:ascii="Times New Roman" w:hAnsi="Times New Roman" w:eastAsia="仿宋_GB2312" w:cs="Times New Roman"/>
          <w:color w:val="auto"/>
          <w:kern w:val="2"/>
          <w:sz w:val="32"/>
          <w:szCs w:val="32"/>
          <w:lang w:val="en-US" w:eastAsia="zh-CN" w:bidi="ar-SA"/>
        </w:rPr>
        <w:t>1971.8</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25.36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项目变动，支出增加</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一般公共预算财政拨款本年收入7,755.49</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,比上年增加</w:t>
      </w:r>
      <w:r>
        <w:rPr>
          <w:rFonts w:hint="eastAsia" w:ascii="Times New Roman" w:hAnsi="Times New Roman" w:eastAsia="仿宋_GB2312" w:cs="Times New Roman"/>
          <w:kern w:val="2"/>
          <w:sz w:val="32"/>
          <w:szCs w:val="32"/>
          <w:lang w:val="en-US" w:eastAsia="zh-CN"/>
        </w:rPr>
        <w:t>2918.9</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增长</w:t>
      </w:r>
      <w:r>
        <w:rPr>
          <w:rFonts w:hint="eastAsia" w:ascii="Times New Roman" w:hAnsi="Times New Roman" w:eastAsia="仿宋_GB2312" w:cs="Times New Roman"/>
          <w:kern w:val="2"/>
          <w:sz w:val="32"/>
          <w:szCs w:val="32"/>
          <w:lang w:val="en-US" w:eastAsia="zh-CN"/>
        </w:rPr>
        <w:t>60.35</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项目变动，收入增加</w:t>
      </w:r>
      <w:r>
        <w:rPr>
          <w:rFonts w:hint="default" w:ascii="Times New Roman" w:hAnsi="Times New Roman" w:eastAsia="仿宋_GB2312" w:cs="Times New Roman"/>
          <w:kern w:val="2"/>
          <w:sz w:val="32"/>
          <w:szCs w:val="32"/>
          <w:lang w:val="zh-CN"/>
        </w:rPr>
        <w:t>；本年支出 7,755.49</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2918.9</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60.35</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color w:val="auto"/>
          <w:kern w:val="2"/>
          <w:sz w:val="32"/>
          <w:szCs w:val="32"/>
          <w:lang w:val="en-US" w:eastAsia="zh-CN" w:bidi="ar-SA"/>
        </w:rPr>
        <w:t>项目变动，支出增加</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政府性基金预算财政拨款本年收入1,991.53</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元，比上年减少</w:t>
      </w:r>
      <w:r>
        <w:rPr>
          <w:rFonts w:hint="eastAsia" w:ascii="Times New Roman" w:hAnsi="Times New Roman" w:eastAsia="仿宋_GB2312" w:cs="Times New Roman"/>
          <w:kern w:val="2"/>
          <w:sz w:val="32"/>
          <w:szCs w:val="32"/>
          <w:lang w:val="en-US" w:eastAsia="zh-CN"/>
        </w:rPr>
        <w:t>947.1</w:t>
      </w:r>
      <w:r>
        <w:rPr>
          <w:rFonts w:hint="default"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lang w:val="en-US" w:eastAsia="zh-CN"/>
        </w:rPr>
        <w:t>32.23</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2023年项目变动，收入减少</w:t>
      </w:r>
      <w:r>
        <w:rPr>
          <w:rFonts w:hint="default" w:ascii="Times New Roman" w:hAnsi="Times New Roman" w:eastAsia="仿宋_GB2312" w:cs="Times New Roman"/>
          <w:kern w:val="2"/>
          <w:sz w:val="32"/>
          <w:szCs w:val="32"/>
          <w:lang w:val="zh-CN"/>
        </w:rPr>
        <w:t>；本年支出 1,991.53</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元，比上年减少</w:t>
      </w:r>
      <w:r>
        <w:rPr>
          <w:rFonts w:hint="eastAsia" w:ascii="Times New Roman" w:hAnsi="Times New Roman" w:eastAsia="仿宋_GB2312" w:cs="Times New Roman"/>
          <w:kern w:val="2"/>
          <w:sz w:val="32"/>
          <w:szCs w:val="32"/>
          <w:lang w:val="en-US" w:eastAsia="zh-CN"/>
        </w:rPr>
        <w:t>947.1</w:t>
      </w:r>
      <w:r>
        <w:rPr>
          <w:rFonts w:hint="default"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lang w:val="en-US" w:eastAsia="zh-CN"/>
        </w:rPr>
        <w:t>32.23</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2023年项目变动，支出减少</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en-US" w:eastAsia="zh-CN"/>
        </w:rPr>
        <w:t>与</w:t>
      </w:r>
      <w:r>
        <w:rPr>
          <w:rFonts w:hint="default" w:ascii="Times New Roman" w:hAnsi="Times New Roman" w:eastAsia="仿宋_GB2312" w:cs="Times New Roman"/>
          <w:kern w:val="2"/>
          <w:sz w:val="32"/>
          <w:szCs w:val="32"/>
          <w:lang w:val="zh-CN"/>
        </w:rPr>
        <w:t>上年</w:t>
      </w:r>
      <w:r>
        <w:rPr>
          <w:rFonts w:hint="eastAsia" w:ascii="Times New Roman" w:hAnsi="Times New Roman" w:eastAsia="仿宋_GB2312" w:cs="Times New Roman"/>
          <w:kern w:val="2"/>
          <w:sz w:val="32"/>
          <w:szCs w:val="32"/>
          <w:lang w:val="en-US" w:eastAsia="zh-CN"/>
        </w:rPr>
        <w:t>持平，</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我单位无</w:t>
      </w:r>
      <w:r>
        <w:rPr>
          <w:rFonts w:hint="default" w:ascii="Times New Roman" w:hAnsi="Times New Roman" w:eastAsia="仿宋_GB2312" w:cs="Times New Roman"/>
          <w:kern w:val="2"/>
          <w:sz w:val="32"/>
          <w:szCs w:val="32"/>
          <w:lang w:val="zh-CN"/>
        </w:rPr>
        <w:t>国有资本经营预算财政拨款；本年支出0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en-US" w:eastAsia="zh-CN"/>
        </w:rPr>
        <w:t>与</w:t>
      </w:r>
      <w:r>
        <w:rPr>
          <w:rFonts w:hint="default" w:ascii="Times New Roman" w:hAnsi="Times New Roman" w:eastAsia="仿宋_GB2312" w:cs="Times New Roman"/>
          <w:kern w:val="2"/>
          <w:sz w:val="32"/>
          <w:szCs w:val="32"/>
          <w:lang w:val="zh-CN"/>
        </w:rPr>
        <w:t>上年</w:t>
      </w:r>
      <w:r>
        <w:rPr>
          <w:rFonts w:hint="eastAsia" w:ascii="Times New Roman" w:hAnsi="Times New Roman" w:eastAsia="仿宋_GB2312" w:cs="Times New Roman"/>
          <w:kern w:val="2"/>
          <w:sz w:val="32"/>
          <w:szCs w:val="32"/>
          <w:lang w:val="en-US" w:eastAsia="zh-CN"/>
        </w:rPr>
        <w:t>持平</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我单位无</w:t>
      </w:r>
      <w:r>
        <w:rPr>
          <w:rFonts w:hint="default" w:ascii="Times New Roman" w:hAnsi="Times New Roman" w:eastAsia="仿宋_GB2312" w:cs="Times New Roman"/>
          <w:kern w:val="2"/>
          <w:sz w:val="32"/>
          <w:szCs w:val="32"/>
          <w:lang w:val="zh-CN"/>
        </w:rPr>
        <w:t>国有资本经营预算财政拨款。</w:t>
      </w:r>
    </w:p>
    <w:p>
      <w:pPr>
        <w:pStyle w:val="2"/>
        <w:rPr>
          <w:rFonts w:hint="default" w:ascii="Times New Roman" w:hAnsi="Times New Roman" w:eastAsia="仿宋_GB2312" w:cs="Times New Roman"/>
          <w:kern w:val="2"/>
          <w:sz w:val="32"/>
          <w:szCs w:val="32"/>
          <w:lang w:val="zh-CN"/>
        </w:rPr>
      </w:pPr>
      <w:r>
        <w:drawing>
          <wp:inline distT="0" distB="0" distL="114300" distR="114300">
            <wp:extent cx="4581525" cy="2752725"/>
            <wp:effectExtent l="0" t="0" r="9525" b="952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8"/>
                    <a:stretch>
                      <a:fillRect/>
                    </a:stretch>
                  </pic:blipFill>
                  <pic:spPr>
                    <a:xfrm>
                      <a:off x="0" y="0"/>
                      <a:ext cx="4581525" cy="2752725"/>
                    </a:xfrm>
                    <a:prstGeom prst="rect">
                      <a:avLst/>
                    </a:prstGeom>
                    <a:noFill/>
                    <a:ln>
                      <a:noFill/>
                    </a:ln>
                  </pic:spPr>
                </pic:pic>
              </a:graphicData>
            </a:graphic>
          </wp:inline>
        </w:drawing>
      </w:r>
    </w:p>
    <w:p>
      <w:pPr>
        <w:pStyle w:val="2"/>
        <w:ind w:left="0" w:leftChars="0" w:firstLine="320" w:firstLineChars="100"/>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sz w:val="32"/>
          <w:szCs w:val="32"/>
          <w:lang w:val="en-US" w:eastAsia="zh-CN"/>
        </w:rPr>
        <w:t>财政拨款收支与2022年度决算对比</w:t>
      </w:r>
      <w:r>
        <w:rPr>
          <w:rFonts w:hint="eastAsia" w:ascii="Times New Roman" w:hAnsi="Times New Roman" w:eastAsia="仿宋_GB2312" w:cs="Times New Roman"/>
          <w:sz w:val="32"/>
          <w:szCs w:val="32"/>
          <w:lang w:val="en-US" w:eastAsia="zh-CN"/>
        </w:rPr>
        <w:t>分析</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单位：万元</w:t>
      </w:r>
      <w:r>
        <w:rPr>
          <w:rFonts w:hint="eastAsia" w:ascii="Times New Roman" w:hAnsi="Times New Roman" w:eastAsia="仿宋_GB2312" w:cs="Times New Roman"/>
          <w:sz w:val="32"/>
          <w:szCs w:val="32"/>
          <w:lang w:eastAsia="zh-CN"/>
        </w:rPr>
        <w:t>）</w:t>
      </w:r>
    </w:p>
    <w:p>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年度财政拨款本年收入9,747.02万元，完成年初预算的95.74%，比年初预算减少</w:t>
      </w:r>
      <w:r>
        <w:rPr>
          <w:rFonts w:hint="eastAsia" w:ascii="Times New Roman" w:hAnsi="Times New Roman" w:eastAsia="仿宋_GB2312" w:cs="Times New Roman"/>
          <w:color w:val="auto"/>
          <w:kern w:val="2"/>
          <w:sz w:val="32"/>
          <w:szCs w:val="32"/>
          <w:lang w:val="en-US" w:eastAsia="zh-CN" w:bidi="ar-SA"/>
        </w:rPr>
        <w:t>433.54</w:t>
      </w:r>
      <w:r>
        <w:rPr>
          <w:rFonts w:hint="default" w:ascii="Times New Roman" w:hAnsi="Times New Roman" w:eastAsia="仿宋_GB2312" w:cs="Times New Roman"/>
          <w:color w:val="auto"/>
          <w:kern w:val="2"/>
          <w:sz w:val="32"/>
          <w:szCs w:val="32"/>
          <w:lang w:val="zh-CN" w:eastAsia="zh-CN" w:bidi="ar-SA"/>
        </w:rPr>
        <w:t>万元，决算数小于预算数主要原因是</w:t>
      </w:r>
      <w:r>
        <w:rPr>
          <w:rFonts w:hint="eastAsia" w:ascii="Times New Roman" w:hAnsi="Times New Roman" w:eastAsia="仿宋_GB2312" w:cs="Times New Roman"/>
          <w:color w:val="auto"/>
          <w:kern w:val="2"/>
          <w:sz w:val="32"/>
          <w:szCs w:val="32"/>
          <w:lang w:val="en-US" w:eastAsia="zh-CN" w:bidi="ar-SA"/>
        </w:rPr>
        <w:t>项目变动，收入减少</w:t>
      </w:r>
      <w:r>
        <w:rPr>
          <w:rFonts w:hint="default" w:ascii="Times New Roman" w:hAnsi="Times New Roman" w:eastAsia="仿宋_GB2312" w:cs="Times New Roman"/>
          <w:color w:val="auto"/>
          <w:kern w:val="2"/>
          <w:sz w:val="32"/>
          <w:szCs w:val="32"/>
          <w:lang w:val="zh-CN" w:eastAsia="zh-CN" w:bidi="ar-SA"/>
        </w:rPr>
        <w:t>；本年支出9,747.02万元，完成年初预算的95.74%，比年初预算减少</w:t>
      </w:r>
      <w:r>
        <w:rPr>
          <w:rFonts w:hint="eastAsia" w:ascii="Times New Roman" w:hAnsi="Times New Roman" w:eastAsia="仿宋_GB2312" w:cs="Times New Roman"/>
          <w:color w:val="auto"/>
          <w:kern w:val="2"/>
          <w:sz w:val="32"/>
          <w:szCs w:val="32"/>
          <w:lang w:val="en-US" w:eastAsia="zh-CN" w:bidi="ar-SA"/>
        </w:rPr>
        <w:t>433.54</w:t>
      </w:r>
      <w:r>
        <w:rPr>
          <w:rFonts w:hint="default" w:ascii="Times New Roman" w:hAnsi="Times New Roman" w:eastAsia="仿宋_GB2312" w:cs="Times New Roman"/>
          <w:color w:val="auto"/>
          <w:kern w:val="2"/>
          <w:sz w:val="32"/>
          <w:szCs w:val="32"/>
          <w:lang w:val="zh-CN" w:eastAsia="zh-CN" w:bidi="ar-SA"/>
        </w:rPr>
        <w:t>万元，决算数小于</w:t>
      </w:r>
      <w:r>
        <w:rPr>
          <w:rFonts w:hint="default" w:ascii="Times New Roman" w:hAnsi="Times New Roman" w:eastAsia="仿宋_GB2312" w:cs="Times New Roman"/>
          <w:kern w:val="2"/>
          <w:sz w:val="32"/>
          <w:szCs w:val="32"/>
          <w:lang w:val="zh-CN"/>
        </w:rPr>
        <w:t>预算数主要原因是</w:t>
      </w:r>
      <w:r>
        <w:rPr>
          <w:rFonts w:hint="eastAsia" w:ascii="Times New Roman" w:hAnsi="Times New Roman" w:eastAsia="仿宋_GB2312" w:cs="Times New Roman"/>
          <w:color w:val="auto"/>
          <w:kern w:val="2"/>
          <w:sz w:val="32"/>
          <w:szCs w:val="32"/>
          <w:lang w:val="en-US" w:eastAsia="zh-CN" w:bidi="ar-SA"/>
        </w:rPr>
        <w:t>项目变动，支出减少</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收入7,755.49万元，完成年初预算的101.03%，比年初预算增加</w:t>
      </w:r>
      <w:r>
        <w:rPr>
          <w:rFonts w:hint="eastAsia" w:ascii="Times New Roman" w:hAnsi="Times New Roman" w:eastAsia="仿宋_GB2312" w:cs="Times New Roman"/>
          <w:kern w:val="2"/>
          <w:sz w:val="32"/>
          <w:szCs w:val="32"/>
          <w:lang w:val="en-US" w:eastAsia="zh-CN"/>
        </w:rPr>
        <w:t>78.93</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en-US" w:eastAsia="zh-CN"/>
        </w:rPr>
        <w:t>项目变动，收入增加</w:t>
      </w:r>
      <w:r>
        <w:rPr>
          <w:rFonts w:hint="default" w:ascii="Times New Roman" w:hAnsi="Times New Roman" w:eastAsia="仿宋_GB2312" w:cs="Times New Roman"/>
          <w:kern w:val="2"/>
          <w:sz w:val="32"/>
          <w:szCs w:val="32"/>
          <w:lang w:val="zh-CN"/>
        </w:rPr>
        <w:t>；本年支出7,755.49万元，完成年初预算的101.03%，比年初预算增加</w:t>
      </w:r>
      <w:r>
        <w:rPr>
          <w:rFonts w:hint="eastAsia" w:ascii="Times New Roman" w:hAnsi="Times New Roman" w:eastAsia="仿宋_GB2312" w:cs="Times New Roman"/>
          <w:kern w:val="2"/>
          <w:sz w:val="32"/>
          <w:szCs w:val="32"/>
          <w:lang w:val="en-US" w:eastAsia="zh-CN"/>
        </w:rPr>
        <w:t>78.93</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en-US" w:eastAsia="zh-CN"/>
        </w:rPr>
        <w:t>项目变动，收入增加</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政府性基金预算财政拨款本年收入1,991.53万元，完成年初预算的79.53%，比年初预算减少</w:t>
      </w:r>
      <w:r>
        <w:rPr>
          <w:rFonts w:hint="eastAsia" w:ascii="Times New Roman" w:hAnsi="Times New Roman" w:eastAsia="仿宋_GB2312" w:cs="Times New Roman"/>
          <w:kern w:val="2"/>
          <w:sz w:val="32"/>
          <w:szCs w:val="32"/>
          <w:lang w:val="en-US" w:eastAsia="zh-CN"/>
        </w:rPr>
        <w:t>512.47</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en-US" w:eastAsia="zh-CN"/>
        </w:rPr>
        <w:t>项目变动，收入减少</w:t>
      </w:r>
      <w:r>
        <w:rPr>
          <w:rFonts w:hint="default" w:ascii="Times New Roman" w:hAnsi="Times New Roman" w:eastAsia="仿宋_GB2312" w:cs="Times New Roman"/>
          <w:kern w:val="2"/>
          <w:sz w:val="32"/>
          <w:szCs w:val="32"/>
          <w:lang w:val="zh-CN"/>
        </w:rPr>
        <w:t>；本年支出1,991.53万元，完成年初预算的79.53%，比年初预算减少</w:t>
      </w:r>
      <w:r>
        <w:rPr>
          <w:rFonts w:hint="eastAsia" w:ascii="Times New Roman" w:hAnsi="Times New Roman" w:eastAsia="仿宋_GB2312" w:cs="Times New Roman"/>
          <w:kern w:val="2"/>
          <w:sz w:val="32"/>
          <w:szCs w:val="32"/>
          <w:lang w:val="en-US" w:eastAsia="zh-CN"/>
        </w:rPr>
        <w:t>512.47</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en-US" w:eastAsia="zh-CN"/>
        </w:rPr>
        <w:t>项目变动，收入减少</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国有资本经营预算财政拨款本年收入0万元，完成年初预算的 0%，比年初预算</w:t>
      </w:r>
      <w:r>
        <w:rPr>
          <w:rFonts w:hint="eastAsia" w:ascii="Times New Roman" w:hAnsi="Times New Roman" w:eastAsia="仿宋_GB2312" w:cs="Times New Roman"/>
          <w:kern w:val="2"/>
          <w:sz w:val="32"/>
          <w:szCs w:val="32"/>
          <w:lang w:val="en-US" w:eastAsia="zh-CN"/>
        </w:rPr>
        <w:t>持平</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en-US" w:eastAsia="zh-CN"/>
        </w:rPr>
        <w:t>我单位无</w:t>
      </w:r>
      <w:r>
        <w:rPr>
          <w:rFonts w:hint="default" w:ascii="Times New Roman" w:hAnsi="Times New Roman" w:eastAsia="仿宋_GB2312" w:cs="Times New Roman"/>
          <w:kern w:val="2"/>
          <w:sz w:val="32"/>
          <w:szCs w:val="32"/>
          <w:lang w:val="zh-CN"/>
        </w:rPr>
        <w:t>国有资本经营预算财政拨款；本年支出0万元，完成年初预算的0%，比年初预算</w:t>
      </w:r>
      <w:r>
        <w:rPr>
          <w:rFonts w:hint="eastAsia" w:ascii="Times New Roman" w:hAnsi="Times New Roman" w:eastAsia="仿宋_GB2312" w:cs="Times New Roman"/>
          <w:kern w:val="2"/>
          <w:sz w:val="32"/>
          <w:szCs w:val="32"/>
          <w:lang w:val="en-US" w:eastAsia="zh-CN"/>
        </w:rPr>
        <w:t>持平</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en-US" w:eastAsia="zh-CN"/>
        </w:rPr>
        <w:t>我单位无</w:t>
      </w:r>
      <w:r>
        <w:rPr>
          <w:rFonts w:hint="default" w:ascii="Times New Roman" w:hAnsi="Times New Roman" w:eastAsia="仿宋_GB2312" w:cs="Times New Roman"/>
          <w:kern w:val="2"/>
          <w:sz w:val="32"/>
          <w:szCs w:val="32"/>
          <w:lang w:val="zh-CN"/>
        </w:rPr>
        <w:t>国有资本经营预算财政拨款。</w:t>
      </w:r>
    </w:p>
    <w:p>
      <w:pPr>
        <w:pStyle w:val="2"/>
        <w:rPr>
          <w:rFonts w:hint="default" w:ascii="Times New Roman" w:hAnsi="Times New Roman" w:eastAsia="仿宋_GB2312" w:cs="Times New Roman"/>
          <w:kern w:val="2"/>
          <w:sz w:val="32"/>
          <w:szCs w:val="32"/>
          <w:lang w:val="zh-CN"/>
        </w:rPr>
      </w:pPr>
      <w:r>
        <w:drawing>
          <wp:inline distT="0" distB="0" distL="114300" distR="114300">
            <wp:extent cx="4581525" cy="2752725"/>
            <wp:effectExtent l="0" t="0" r="952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9"/>
                    <a:stretch>
                      <a:fillRect/>
                    </a:stretch>
                  </pic:blipFill>
                  <pic:spPr>
                    <a:xfrm>
                      <a:off x="0" y="0"/>
                      <a:ext cx="4581525" cy="2752725"/>
                    </a:xfrm>
                    <a:prstGeom prst="rect">
                      <a:avLst/>
                    </a:prstGeom>
                    <a:noFill/>
                    <a:ln>
                      <a:noFill/>
                    </a:ln>
                  </pic:spPr>
                </pic:pic>
              </a:graphicData>
            </a:graphic>
          </wp:inline>
        </w:drawing>
      </w:r>
    </w:p>
    <w:p>
      <w:pPr>
        <w:pStyle w:val="2"/>
        <w:ind w:firstLine="320" w:firstLineChars="100"/>
        <w:rPr>
          <w:rFonts w:hint="default" w:ascii="Times New Roman" w:hAnsi="Times New Roman" w:eastAsia="Arial" w:cs="Times New Roman"/>
          <w:highlight w:val="none"/>
        </w:rPr>
      </w:pPr>
      <w:r>
        <w:rPr>
          <w:rFonts w:hint="default" w:ascii="Times New Roman" w:hAnsi="Times New Roman" w:eastAsia="仿宋_GB2312" w:cs="Times New Roman"/>
          <w:sz w:val="32"/>
          <w:szCs w:val="32"/>
          <w:lang w:val="en-US" w:eastAsia="zh-CN"/>
        </w:rPr>
        <w:t>财政拨款收支与年初预算数对比</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单位：万元</w:t>
      </w:r>
      <w:r>
        <w:rPr>
          <w:rFonts w:hint="eastAsia" w:ascii="Times New Roman" w:hAnsi="Times New Roman" w:eastAsia="仿宋_GB2312" w:cs="Times New Roman"/>
          <w:sz w:val="32"/>
          <w:szCs w:val="32"/>
          <w:lang w:eastAsia="zh-CN"/>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年度财政拨款支出9,747.02万元，主要用于以下方面：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eastAsia"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zh-CN" w:eastAsia="zh-CN" w:bidi="ar-SA"/>
        </w:rPr>
        <w:t>文化旅游体育与传媒（类）支出8.59万元，占0.09%</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主要是古树名木保护项目支出</w:t>
      </w:r>
      <w:r>
        <w:rPr>
          <w:rFonts w:hint="default" w:ascii="Times New Roman" w:hAnsi="Times New Roman" w:eastAsia="仿宋_GB2312" w:cs="Times New Roman"/>
          <w:color w:val="auto"/>
          <w:kern w:val="2"/>
          <w:sz w:val="32"/>
          <w:szCs w:val="32"/>
          <w:lang w:val="zh-CN" w:eastAsia="zh-CN" w:bidi="ar-SA"/>
        </w:rPr>
        <w:t>；社会保障和就业 （类）支出646.92万元，占6.64%</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主要是缴纳机关事业单位基本养老保险和退休费等</w:t>
      </w:r>
      <w:r>
        <w:rPr>
          <w:rFonts w:hint="default" w:ascii="Times New Roman" w:hAnsi="Times New Roman" w:eastAsia="仿宋_GB2312" w:cs="Times New Roman"/>
          <w:color w:val="auto"/>
          <w:kern w:val="2"/>
          <w:sz w:val="32"/>
          <w:szCs w:val="32"/>
          <w:lang w:val="zh-CN" w:eastAsia="zh-CN" w:bidi="ar-SA"/>
        </w:rPr>
        <w:t>；卫生健康（类）支出86.94万元，占0.89%</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主要是缴纳职工基本医疗保险</w:t>
      </w:r>
      <w:r>
        <w:rPr>
          <w:rFonts w:hint="default" w:ascii="Times New Roman" w:hAnsi="Times New Roman" w:eastAsia="仿宋_GB2312" w:cs="Times New Roman"/>
          <w:color w:val="auto"/>
          <w:kern w:val="2"/>
          <w:sz w:val="32"/>
          <w:szCs w:val="32"/>
          <w:lang w:val="zh-CN" w:eastAsia="zh-CN" w:bidi="ar-SA"/>
        </w:rPr>
        <w:t>；城乡社区（类）支出8,819.77万元，占90.49%</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主要是园林城市维护费、奥体公园建设项目等支出</w:t>
      </w:r>
      <w:r>
        <w:rPr>
          <w:rFonts w:hint="default" w:ascii="Times New Roman" w:hAnsi="Times New Roman" w:eastAsia="仿宋_GB2312" w:cs="Times New Roman"/>
          <w:color w:val="auto"/>
          <w:kern w:val="2"/>
          <w:sz w:val="32"/>
          <w:szCs w:val="32"/>
          <w:lang w:val="zh-CN" w:eastAsia="zh-CN" w:bidi="ar-SA"/>
        </w:rPr>
        <w:t>；住房保障（类）支出184.8万元，占1.9%</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主要是缴纳住房公积金。</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pPr>
      <w:r>
        <w:drawing>
          <wp:inline distT="0" distB="0" distL="114300" distR="114300">
            <wp:extent cx="4825365" cy="2357120"/>
            <wp:effectExtent l="0" t="0" r="13335" b="508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0"/>
                    <a:stretch>
                      <a:fillRect/>
                    </a:stretch>
                  </pic:blipFill>
                  <pic:spPr>
                    <a:xfrm>
                      <a:off x="0" y="0"/>
                      <a:ext cx="4825365" cy="2357120"/>
                    </a:xfrm>
                    <a:prstGeom prst="rect">
                      <a:avLst/>
                    </a:prstGeom>
                    <a:noFill/>
                    <a:ln>
                      <a:noFill/>
                    </a:ln>
                  </pic:spPr>
                </pic:pic>
              </a:graphicData>
            </a:graphic>
          </wp:inline>
        </w:drawing>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center"/>
        <w:textAlignment w:val="auto"/>
        <w:rPr>
          <w:rFonts w:hint="default"/>
          <w:lang w:val="en-US" w:eastAsia="zh-CN"/>
        </w:rPr>
      </w:pPr>
      <w:r>
        <w:rPr>
          <w:rFonts w:hint="default" w:ascii="Times New Roman" w:hAnsi="Times New Roman" w:eastAsia="仿宋_GB2312" w:cs="Times New Roman"/>
          <w:color w:val="auto"/>
          <w:kern w:val="0"/>
          <w:sz w:val="32"/>
          <w:szCs w:val="32"/>
          <w:lang w:val="en-US" w:eastAsia="zh-CN" w:bidi="ar-SA"/>
        </w:rPr>
        <w:t>支出</w:t>
      </w:r>
      <w:r>
        <w:rPr>
          <w:rFonts w:hint="eastAsia" w:ascii="Times New Roman" w:hAnsi="Times New Roman" w:eastAsia="仿宋_GB2312" w:cs="Times New Roman"/>
          <w:color w:val="auto"/>
          <w:kern w:val="0"/>
          <w:sz w:val="32"/>
          <w:szCs w:val="32"/>
          <w:lang w:val="en-US" w:eastAsia="zh-CN" w:bidi="ar-SA"/>
        </w:rPr>
        <w:t>决算结构分析（按功能分类）</w:t>
      </w:r>
    </w:p>
    <w:p>
      <w:pPr>
        <w:pStyle w:val="11"/>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年度财政拨款基本支出2,714.48万元，其中：</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人员经费2,630.91万元，主要包括基本工资、津贴补贴、奖金、绩效工资、机关事业部门基本养老保险缴费、职工基本医疗保险缴费、住房公积金、其他社会保障缴费、 退休费、 抚恤金、生活补助、奖励金。</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公用经费83.58万元，主要包括办公费、水费、电费、邮电费、取暖费、差旅费、培训费、公务接待费、劳务费、委托业务费、工会经费、福利费、公务用车运行维护费、其他交通费用、其他商品和服务支出。</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年度“三公”经费财政拨款支出预算为5.84万元，支出决算为 2.65万元，完成预算的 45.4%，较预算减少</w:t>
      </w:r>
      <w:r>
        <w:rPr>
          <w:rFonts w:hint="eastAsia" w:ascii="Times New Roman" w:hAnsi="Times New Roman" w:eastAsia="仿宋_GB2312" w:cs="Times New Roman"/>
          <w:color w:val="auto"/>
          <w:kern w:val="2"/>
          <w:sz w:val="32"/>
          <w:szCs w:val="32"/>
          <w:lang w:val="en-US" w:eastAsia="zh-CN" w:bidi="ar-SA"/>
        </w:rPr>
        <w:t>3.19</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54.62</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认真落实中央“八项规定”精神，按照厉行节约要求使用公务用车和进行公务接待</w:t>
      </w:r>
      <w:r>
        <w:rPr>
          <w:rFonts w:hint="default" w:ascii="Times New Roman" w:hAnsi="Times New Roman" w:eastAsia="仿宋_GB2312" w:cs="Times New Roman"/>
          <w:color w:val="auto"/>
          <w:kern w:val="2"/>
          <w:sz w:val="32"/>
          <w:szCs w:val="32"/>
          <w:lang w:val="zh-CN" w:eastAsia="zh-CN" w:bidi="ar-SA"/>
        </w:rPr>
        <w:t>；较2022年度决算</w:t>
      </w:r>
      <w:r>
        <w:rPr>
          <w:rFonts w:hint="eastAsia" w:ascii="Times New Roman" w:hAnsi="Times New Roman" w:eastAsia="仿宋_GB2312" w:cs="Times New Roman"/>
          <w:color w:val="auto"/>
          <w:kern w:val="2"/>
          <w:sz w:val="32"/>
          <w:szCs w:val="32"/>
          <w:lang w:val="en-US" w:eastAsia="zh-CN" w:bidi="ar-SA"/>
        </w:rPr>
        <w:t>增加0.95</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55.88</w:t>
      </w:r>
      <w:r>
        <w:rPr>
          <w:rFonts w:hint="default" w:ascii="Times New Roman" w:hAnsi="Times New Roman" w:eastAsia="仿宋_GB2312" w:cs="Times New Roman"/>
          <w:color w:val="auto"/>
          <w:kern w:val="2"/>
          <w:sz w:val="32"/>
          <w:szCs w:val="32"/>
          <w:lang w:val="zh-CN" w:eastAsia="zh-CN" w:bidi="ar-SA"/>
        </w:rPr>
        <w:t>%，主要是疫情结束，工作步入正轨。</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en-US" w:eastAsia="zh-CN" w:bidi="ar-SA"/>
        </w:rPr>
        <w:t>00</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。因公出国（境）费支出较预算增加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%,主要是</w:t>
      </w:r>
      <w:r>
        <w:rPr>
          <w:rFonts w:hint="eastAsia" w:ascii="Times New Roman" w:hAnsi="Times New Roman" w:eastAsia="仿宋_GB2312" w:cs="Times New Roman"/>
          <w:color w:val="auto"/>
          <w:kern w:val="2"/>
          <w:sz w:val="32"/>
          <w:szCs w:val="32"/>
          <w:lang w:val="en-US" w:eastAsia="zh-CN" w:bidi="ar-SA"/>
        </w:rPr>
        <w:t>未发生</w:t>
      </w:r>
      <w:r>
        <w:rPr>
          <w:rFonts w:hint="default" w:ascii="Times New Roman" w:hAnsi="Times New Roman" w:eastAsia="仿宋_GB2312" w:cs="Times New Roman"/>
          <w:color w:val="auto"/>
          <w:kern w:val="2"/>
          <w:sz w:val="32"/>
          <w:szCs w:val="32"/>
          <w:lang w:val="en-US" w:eastAsia="zh-CN" w:bidi="ar-SA"/>
        </w:rPr>
        <w:t>因公出国（境）费</w:t>
      </w:r>
      <w:r>
        <w:rPr>
          <w:rFonts w:hint="eastAsia" w:ascii="Times New Roman" w:hAnsi="Times New Roman" w:eastAsia="仿宋_GB2312" w:cs="Times New Roman"/>
          <w:color w:val="auto"/>
          <w:kern w:val="2"/>
          <w:sz w:val="32"/>
          <w:szCs w:val="32"/>
          <w:lang w:val="en-US" w:eastAsia="zh-CN" w:bidi="ar-SA"/>
        </w:rPr>
        <w:t>用</w:t>
      </w:r>
      <w:r>
        <w:rPr>
          <w:rFonts w:hint="default" w:ascii="Times New Roman" w:hAnsi="Times New Roman" w:eastAsia="仿宋_GB2312" w:cs="Times New Roman"/>
          <w:color w:val="auto"/>
          <w:kern w:val="2"/>
          <w:sz w:val="32"/>
          <w:szCs w:val="32"/>
          <w:lang w:val="en-US" w:eastAsia="zh-CN" w:bidi="ar-SA"/>
        </w:rPr>
        <w:t>；较上年增加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%,主要是</w:t>
      </w:r>
      <w:r>
        <w:rPr>
          <w:rFonts w:hint="eastAsia" w:ascii="Times New Roman" w:hAnsi="Times New Roman" w:eastAsia="仿宋_GB2312" w:cs="Times New Roman"/>
          <w:color w:val="auto"/>
          <w:kern w:val="2"/>
          <w:sz w:val="32"/>
          <w:szCs w:val="32"/>
          <w:lang w:val="en-US" w:eastAsia="zh-CN" w:bidi="ar-SA"/>
        </w:rPr>
        <w:t>未发生</w:t>
      </w:r>
      <w:r>
        <w:rPr>
          <w:rFonts w:hint="default" w:ascii="Times New Roman" w:hAnsi="Times New Roman" w:eastAsia="仿宋_GB2312" w:cs="Times New Roman"/>
          <w:color w:val="auto"/>
          <w:kern w:val="2"/>
          <w:sz w:val="32"/>
          <w:szCs w:val="32"/>
          <w:lang w:val="en-US" w:eastAsia="zh-CN" w:bidi="ar-SA"/>
        </w:rPr>
        <w:t>因公出国（境）费</w:t>
      </w:r>
      <w:r>
        <w:rPr>
          <w:rFonts w:hint="eastAsia" w:ascii="Times New Roman" w:hAnsi="Times New Roman" w:eastAsia="仿宋_GB2312" w:cs="Times New Roman"/>
          <w:color w:val="auto"/>
          <w:kern w:val="2"/>
          <w:sz w:val="32"/>
          <w:szCs w:val="32"/>
          <w:lang w:val="en-US" w:eastAsia="zh-CN" w:bidi="ar-SA"/>
        </w:rPr>
        <w:t>用</w:t>
      </w:r>
      <w:r>
        <w:rPr>
          <w:rFonts w:hint="default" w:ascii="Times New Roman" w:hAnsi="Times New Roman" w:eastAsia="仿宋_GB2312" w:cs="Times New Roman"/>
          <w:color w:val="auto"/>
          <w:kern w:val="2"/>
          <w:sz w:val="32"/>
          <w:szCs w:val="32"/>
          <w:lang w:val="en-US" w:eastAsia="zh-CN" w:bidi="ar-SA"/>
        </w:rPr>
        <w:t>。因公出国（境）团组0个、共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人、参加其他单位组织的因公出国（境）团组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人/无本部门组织的出国（境）团组。</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Arial" w:cs="Times New Roman"/>
          <w:highlight w:val="none"/>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年度公务用车购置及运行维护费预算为1.5万元，支出决算 1.13万元，完成预算的75.</w:t>
      </w:r>
      <w:r>
        <w:rPr>
          <w:rFonts w:hint="eastAsia" w:ascii="Times New Roman" w:hAnsi="Times New Roman" w:eastAsia="仿宋_GB2312" w:cs="Times New Roman"/>
          <w:color w:val="auto"/>
          <w:kern w:val="2"/>
          <w:sz w:val="32"/>
          <w:szCs w:val="32"/>
          <w:lang w:val="en-US" w:eastAsia="zh-CN" w:bidi="ar-SA"/>
        </w:rPr>
        <w:t>33</w:t>
      </w:r>
      <w:r>
        <w:rPr>
          <w:rFonts w:hint="default" w:ascii="Times New Roman" w:hAnsi="Times New Roman" w:eastAsia="仿宋_GB2312" w:cs="Times New Roman"/>
          <w:color w:val="auto"/>
          <w:kern w:val="2"/>
          <w:sz w:val="32"/>
          <w:szCs w:val="32"/>
          <w:lang w:val="zh-CN" w:eastAsia="zh-CN" w:bidi="ar-SA"/>
        </w:rPr>
        <w:t>%,较预算减少</w:t>
      </w:r>
      <w:r>
        <w:rPr>
          <w:rFonts w:hint="eastAsia" w:ascii="Times New Roman" w:hAnsi="Times New Roman" w:eastAsia="仿宋_GB2312" w:cs="Times New Roman"/>
          <w:color w:val="auto"/>
          <w:kern w:val="2"/>
          <w:sz w:val="32"/>
          <w:szCs w:val="32"/>
          <w:lang w:val="en-US" w:eastAsia="zh-CN" w:bidi="ar-SA"/>
        </w:rPr>
        <w:t>0.37</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24.66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认真落实中央“八项规定”精神，按照厉行节约要求使用公务用车</w:t>
      </w:r>
      <w:r>
        <w:rPr>
          <w:rFonts w:hint="default" w:ascii="Times New Roman" w:hAnsi="Times New Roman" w:eastAsia="仿宋_GB2312" w:cs="Times New Roman"/>
          <w:color w:val="auto"/>
          <w:kern w:val="2"/>
          <w:sz w:val="32"/>
          <w:szCs w:val="32"/>
          <w:lang w:val="zh-CN" w:eastAsia="zh-CN" w:bidi="ar-SA"/>
        </w:rPr>
        <w:t>；较上年减少</w:t>
      </w:r>
      <w:r>
        <w:rPr>
          <w:rFonts w:hint="eastAsia" w:ascii="Times New Roman" w:hAnsi="Times New Roman" w:eastAsia="仿宋_GB2312" w:cs="Times New Roman"/>
          <w:color w:val="auto"/>
          <w:kern w:val="2"/>
          <w:sz w:val="32"/>
          <w:szCs w:val="32"/>
          <w:lang w:val="en-US" w:eastAsia="zh-CN" w:bidi="ar-SA"/>
        </w:rPr>
        <w:t>0.35</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23.65</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认真落实中央“八项规定”精神，按照厉行节约要求使用公务用车</w:t>
      </w:r>
      <w:r>
        <w:rPr>
          <w:rFonts w:hint="default" w:ascii="Times New Roman" w:hAnsi="Times New Roman" w:eastAsia="仿宋_GB2312" w:cs="Times New Roman"/>
          <w:color w:val="auto"/>
          <w:kern w:val="2"/>
          <w:sz w:val="32"/>
          <w:szCs w:val="32"/>
          <w:lang w:val="zh-CN" w:eastAsia="zh-CN" w:bidi="ar-SA"/>
        </w:rPr>
        <w:t>。其中：</w:t>
      </w:r>
    </w:p>
    <w:p>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0万元。公务用车购置费支出较预算增加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未发生公务用车购置费支出</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未发生公务用车购置费支出</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1.13</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年度单位公务用车保有量1辆，发生运行维护费支出1.13万元。公车运行维护费支出较预算减少</w:t>
      </w:r>
      <w:r>
        <w:rPr>
          <w:rFonts w:hint="eastAsia" w:ascii="Times New Roman" w:hAnsi="Times New Roman" w:eastAsia="仿宋_GB2312" w:cs="Times New Roman"/>
          <w:color w:val="auto"/>
          <w:kern w:val="2"/>
          <w:sz w:val="32"/>
          <w:szCs w:val="32"/>
          <w:lang w:val="en-US" w:eastAsia="zh-CN" w:bidi="ar-SA"/>
        </w:rPr>
        <w:t>0.37</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24.66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认真落实中央“八项规定”精神，按照厉行节约要求使用公务用车</w:t>
      </w:r>
      <w:r>
        <w:rPr>
          <w:rFonts w:hint="default" w:ascii="Times New Roman" w:hAnsi="Times New Roman" w:eastAsia="仿宋_GB2312" w:cs="Times New Roman"/>
          <w:color w:val="auto"/>
          <w:kern w:val="2"/>
          <w:sz w:val="32"/>
          <w:szCs w:val="32"/>
          <w:lang w:val="zh-CN" w:eastAsia="zh-CN" w:bidi="ar-SA"/>
        </w:rPr>
        <w:t>；较上年减少</w:t>
      </w:r>
      <w:r>
        <w:rPr>
          <w:rFonts w:hint="eastAsia" w:ascii="Times New Roman" w:hAnsi="Times New Roman" w:eastAsia="仿宋_GB2312" w:cs="Times New Roman"/>
          <w:color w:val="auto"/>
          <w:kern w:val="2"/>
          <w:sz w:val="32"/>
          <w:szCs w:val="32"/>
          <w:lang w:val="en-US" w:eastAsia="zh-CN" w:bidi="ar-SA"/>
        </w:rPr>
        <w:t>0.35</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23.65</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认真落实中央“八项规定”精神，按照厉行节约要求使用公务用车</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年度公务接待费支出预算为4.34万元，支出决算1.52万元，完成预算的</w:t>
      </w:r>
      <w:r>
        <w:rPr>
          <w:rFonts w:hint="eastAsia" w:ascii="Times New Roman" w:hAnsi="Times New Roman" w:eastAsia="仿宋_GB2312" w:cs="Times New Roman"/>
          <w:color w:val="auto"/>
          <w:kern w:val="2"/>
          <w:sz w:val="32"/>
          <w:szCs w:val="32"/>
          <w:lang w:val="en-US" w:eastAsia="zh-CN" w:bidi="ar-SA"/>
        </w:rPr>
        <w:t>35.02</w:t>
      </w:r>
      <w:r>
        <w:rPr>
          <w:rFonts w:hint="default" w:ascii="Times New Roman" w:hAnsi="Times New Roman" w:eastAsia="仿宋_GB2312" w:cs="Times New Roman"/>
          <w:color w:val="auto"/>
          <w:kern w:val="2"/>
          <w:sz w:val="32"/>
          <w:szCs w:val="32"/>
          <w:lang w:val="zh-CN" w:eastAsia="zh-CN" w:bidi="ar-SA"/>
        </w:rPr>
        <w:t>%。公务接待费支出较预算减少</w:t>
      </w:r>
      <w:r>
        <w:rPr>
          <w:rFonts w:hint="eastAsia" w:ascii="Times New Roman" w:hAnsi="Times New Roman" w:eastAsia="仿宋_GB2312" w:cs="Times New Roman"/>
          <w:color w:val="auto"/>
          <w:kern w:val="2"/>
          <w:sz w:val="32"/>
          <w:szCs w:val="32"/>
          <w:lang w:val="en-US" w:eastAsia="zh-CN" w:bidi="ar-SA"/>
        </w:rPr>
        <w:t>2.82</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64.98</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认真落实中央“八项规定”精神，按照厉行节约要求进行</w:t>
      </w:r>
      <w:r>
        <w:rPr>
          <w:rFonts w:hint="default" w:ascii="Times New Roman" w:hAnsi="Times New Roman" w:eastAsia="仿宋_GB2312" w:cs="Times New Roman"/>
          <w:color w:val="auto"/>
          <w:kern w:val="2"/>
          <w:sz w:val="32"/>
          <w:szCs w:val="32"/>
          <w:lang w:val="zh-CN" w:eastAsia="zh-CN" w:bidi="ar-SA"/>
        </w:rPr>
        <w:t>公务</w:t>
      </w:r>
      <w:r>
        <w:rPr>
          <w:rFonts w:hint="eastAsia" w:ascii="Times New Roman" w:hAnsi="Times New Roman" w:eastAsia="仿宋_GB2312" w:cs="Times New Roman"/>
          <w:color w:val="auto"/>
          <w:kern w:val="2"/>
          <w:sz w:val="32"/>
          <w:szCs w:val="32"/>
          <w:lang w:val="en-US" w:eastAsia="zh-CN" w:bidi="ar-SA"/>
        </w:rPr>
        <w:t>接待</w:t>
      </w:r>
      <w:r>
        <w:rPr>
          <w:rFonts w:hint="default" w:ascii="Times New Roman" w:hAnsi="Times New Roman" w:eastAsia="仿宋_GB2312" w:cs="Times New Roman"/>
          <w:color w:val="auto"/>
          <w:kern w:val="2"/>
          <w:sz w:val="32"/>
          <w:szCs w:val="32"/>
          <w:lang w:val="zh-CN" w:eastAsia="zh-CN" w:bidi="ar-SA"/>
        </w:rPr>
        <w:t>；较上年度增加</w:t>
      </w:r>
      <w:r>
        <w:rPr>
          <w:rFonts w:hint="eastAsia" w:ascii="Times New Roman" w:hAnsi="Times New Roman" w:eastAsia="仿宋_GB2312" w:cs="Times New Roman"/>
          <w:color w:val="auto"/>
          <w:kern w:val="2"/>
          <w:sz w:val="32"/>
          <w:szCs w:val="32"/>
          <w:lang w:val="en-US" w:eastAsia="zh-CN" w:bidi="ar-SA"/>
        </w:rPr>
        <w:t>1.31</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623.81</w:t>
      </w:r>
      <w:r>
        <w:rPr>
          <w:rFonts w:hint="default" w:ascii="Times New Roman" w:hAnsi="Times New Roman" w:eastAsia="仿宋_GB2312" w:cs="Times New Roman"/>
          <w:color w:val="auto"/>
          <w:kern w:val="2"/>
          <w:sz w:val="32"/>
          <w:szCs w:val="32"/>
          <w:lang w:val="zh-CN" w:eastAsia="zh-CN" w:bidi="ar-SA"/>
        </w:rPr>
        <w:t>%,主要是疫情结束，恢复正常公务接待工作。本年度共发生公务接待</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33</w:t>
      </w:r>
      <w:r>
        <w:rPr>
          <w:rFonts w:hint="default" w:ascii="Times New Roman" w:hAnsi="Times New Roman" w:eastAsia="仿宋_GB2312" w:cs="Times New Roman"/>
          <w:color w:val="auto"/>
          <w:kern w:val="2"/>
          <w:sz w:val="32"/>
          <w:szCs w:val="32"/>
          <w:lang w:val="zh-CN" w:eastAsia="zh-CN" w:bidi="ar-SA"/>
        </w:rPr>
        <w:t>人次。</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宋体" w:cs="Times New Roman"/>
          <w:i w:val="0"/>
          <w:iCs w:val="0"/>
          <w:caps w:val="0"/>
          <w:color w:val="333333"/>
          <w:spacing w:val="0"/>
          <w:sz w:val="19"/>
          <w:szCs w:val="19"/>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eastAsia" w:ascii="Times New Roman" w:hAnsi="Times New Roman" w:eastAsia="仿宋_GB2312" w:cs="Times New Roman"/>
          <w:color w:val="auto"/>
          <w:kern w:val="2"/>
          <w:sz w:val="32"/>
          <w:szCs w:val="32"/>
          <w:lang w:val="en-US" w:eastAsia="zh-CN" w:bidi="ar-SA"/>
        </w:rPr>
        <w:t xml:space="preserve"> 本单位为财政补助事业单位，无机关运行经费，较2022年度无变化。</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年度政府采购支出总额1,731.32万元，从采购类型来看，政府采购货物支出900.73万元、政府采购工程支出141.55万元、政府采购服务支出689.04万元。授予中小企业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1,518.07万元，占政府采购支出总额的87.68%，其中授予小微企业合同金额1,442.45万元，占政府采购支出总额的83.3</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年12月31日，本单位共有车辆95辆，比上年增加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辆，主要是</w:t>
      </w:r>
      <w:r>
        <w:rPr>
          <w:rFonts w:hint="eastAsia" w:ascii="Times New Roman" w:hAnsi="Times New Roman" w:eastAsia="仿宋_GB2312" w:cs="Times New Roman"/>
          <w:color w:val="auto"/>
          <w:kern w:val="2"/>
          <w:sz w:val="32"/>
          <w:szCs w:val="32"/>
          <w:lang w:val="en-US" w:eastAsia="zh-CN" w:bidi="ar-SA"/>
        </w:rPr>
        <w:t>本年车辆数量无变化</w:t>
      </w:r>
      <w:r>
        <w:rPr>
          <w:rFonts w:hint="default" w:ascii="Times New Roman" w:hAnsi="Times New Roman" w:eastAsia="仿宋_GB2312" w:cs="Times New Roman"/>
          <w:color w:val="auto"/>
          <w:kern w:val="2"/>
          <w:sz w:val="32"/>
          <w:szCs w:val="32"/>
          <w:lang w:val="zh-CN" w:eastAsia="zh-CN" w:bidi="ar-SA"/>
        </w:rPr>
        <w:t>。其中，应急保障用车1辆，其他用车94辆，其他用车主要是</w:t>
      </w:r>
      <w:r>
        <w:rPr>
          <w:rFonts w:hint="eastAsia" w:ascii="Times New Roman" w:hAnsi="Times New Roman" w:eastAsia="仿宋_GB2312" w:cs="Times New Roman"/>
          <w:color w:val="auto"/>
          <w:kern w:val="2"/>
          <w:sz w:val="32"/>
          <w:szCs w:val="32"/>
          <w:lang w:val="en-US" w:eastAsia="zh-CN" w:bidi="ar-SA"/>
        </w:rPr>
        <w:t>绿化维护用洒水车、农用车等</w:t>
      </w:r>
      <w:r>
        <w:rPr>
          <w:rFonts w:hint="default" w:ascii="Times New Roman" w:hAnsi="Times New Roman" w:eastAsia="仿宋_GB2312" w:cs="Times New Roman"/>
          <w:color w:val="auto"/>
          <w:kern w:val="2"/>
          <w:sz w:val="32"/>
          <w:szCs w:val="32"/>
          <w:lang w:val="zh-CN" w:eastAsia="zh-CN" w:bidi="ar-SA"/>
        </w:rPr>
        <w:t>。单位价值100万元（含）以上设备（不含车辆）0台（套）。</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16</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5041</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65</w:t>
      </w:r>
      <w:r>
        <w:rPr>
          <w:rFonts w:hint="default" w:ascii="Times New Roman" w:hAnsi="Times New Roman" w:eastAsia="仿宋_GB2312" w:cs="Times New Roman"/>
          <w:color w:val="auto"/>
          <w:kern w:val="2"/>
          <w:sz w:val="32"/>
          <w:szCs w:val="32"/>
          <w:lang w:val="zh-CN" w:eastAsia="zh-CN" w:bidi="ar-SA"/>
        </w:rPr>
        <w:t>%。组织对2023年度</w:t>
      </w:r>
      <w:r>
        <w:rPr>
          <w:rFonts w:hint="eastAsia" w:ascii="Times New Roman" w:hAnsi="Times New Roman" w:eastAsia="仿宋_GB2312" w:cs="Times New Roman"/>
          <w:color w:val="auto"/>
          <w:kern w:val="2"/>
          <w:sz w:val="32"/>
          <w:szCs w:val="32"/>
          <w:lang w:val="en-US" w:eastAsia="zh-CN" w:bidi="ar-SA"/>
        </w:rPr>
        <w:t>园林城市维护费（基金）、园林项目工程款（基金）</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个政府性基金预算项目支出开展绩效自评，共涉及资金</w:t>
      </w:r>
      <w:r>
        <w:rPr>
          <w:rFonts w:hint="eastAsia" w:ascii="Times New Roman" w:hAnsi="Times New Roman" w:eastAsia="仿宋_GB2312" w:cs="Times New Roman"/>
          <w:color w:val="auto"/>
          <w:kern w:val="2"/>
          <w:sz w:val="32"/>
          <w:szCs w:val="32"/>
          <w:lang w:val="en-US" w:eastAsia="zh-CN" w:bidi="ar-SA"/>
        </w:rPr>
        <w:t>1991.53</w:t>
      </w:r>
      <w:r>
        <w:rPr>
          <w:rFonts w:hint="default" w:ascii="Times New Roman" w:hAnsi="Times New Roman" w:eastAsia="仿宋_GB2312" w:cs="Times New Roman"/>
          <w:color w:val="auto"/>
          <w:kern w:val="2"/>
          <w:sz w:val="32"/>
          <w:szCs w:val="32"/>
          <w:lang w:val="zh-CN" w:eastAsia="zh-CN" w:bidi="ar-SA"/>
        </w:rPr>
        <w:t>万元，占政府性基金预算项目支出总额的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highlight w:val="yellow"/>
          <w:lang w:val="en-US"/>
        </w:rPr>
      </w:pPr>
      <w:r>
        <w:rPr>
          <w:rFonts w:hint="default" w:ascii="Times New Roman" w:hAnsi="Times New Roman" w:eastAsia="仿宋_GB2312" w:cs="Times New Roman"/>
          <w:color w:val="auto"/>
          <w:kern w:val="2"/>
          <w:sz w:val="32"/>
          <w:szCs w:val="32"/>
          <w:lang w:val="zh-CN" w:eastAsia="zh-CN" w:bidi="ar-SA"/>
        </w:rPr>
        <w:t>组织对“</w:t>
      </w:r>
      <w:r>
        <w:rPr>
          <w:rFonts w:hint="eastAsia" w:ascii="Times New Roman" w:hAnsi="Times New Roman" w:eastAsia="仿宋_GB2312" w:cs="Times New Roman"/>
          <w:color w:val="auto"/>
          <w:kern w:val="2"/>
          <w:sz w:val="32"/>
          <w:szCs w:val="32"/>
          <w:lang w:val="en-US" w:eastAsia="zh-CN" w:bidi="ar-SA"/>
        </w:rPr>
        <w:t>园林项目工程款</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奥体公园建设项目</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21</w:t>
      </w:r>
      <w:r>
        <w:rPr>
          <w:rFonts w:hint="default" w:ascii="Times New Roman" w:hAnsi="Times New Roman" w:eastAsia="仿宋_GB2312" w:cs="Times New Roman"/>
          <w:color w:val="auto"/>
          <w:kern w:val="2"/>
          <w:sz w:val="32"/>
          <w:szCs w:val="32"/>
          <w:lang w:val="zh-CN" w:eastAsia="zh-CN" w:bidi="ar-SA"/>
        </w:rPr>
        <w:t>个项目开展了部门评价，涉及一般公共预算支出</w:t>
      </w:r>
      <w:r>
        <w:rPr>
          <w:rFonts w:hint="eastAsia" w:ascii="Times New Roman" w:hAnsi="Times New Roman" w:eastAsia="仿宋_GB2312" w:cs="Times New Roman"/>
          <w:color w:val="auto"/>
          <w:kern w:val="2"/>
          <w:sz w:val="32"/>
          <w:szCs w:val="32"/>
          <w:lang w:val="en-US" w:eastAsia="zh-CN" w:bidi="ar-SA"/>
        </w:rPr>
        <w:t>5041</w:t>
      </w:r>
      <w:r>
        <w:rPr>
          <w:rFonts w:hint="default" w:ascii="Times New Roman" w:hAnsi="Times New Roman" w:eastAsia="仿宋_GB2312" w:cs="Times New Roman"/>
          <w:color w:val="auto"/>
          <w:kern w:val="2"/>
          <w:sz w:val="32"/>
          <w:szCs w:val="32"/>
          <w:lang w:val="zh-CN" w:eastAsia="zh-CN" w:bidi="ar-SA"/>
        </w:rPr>
        <w:t>万元，政府性基金预算支出</w:t>
      </w:r>
      <w:r>
        <w:rPr>
          <w:rFonts w:hint="eastAsia" w:ascii="Times New Roman" w:hAnsi="Times New Roman" w:eastAsia="仿宋_GB2312" w:cs="Times New Roman"/>
          <w:color w:val="auto"/>
          <w:kern w:val="2"/>
          <w:sz w:val="32"/>
          <w:szCs w:val="32"/>
          <w:lang w:val="en-US" w:eastAsia="zh-CN" w:bidi="ar-SA"/>
        </w:rPr>
        <w:t>1991.53</w:t>
      </w:r>
      <w:r>
        <w:rPr>
          <w:rFonts w:hint="default" w:ascii="Times New Roman" w:hAnsi="Times New Roman" w:eastAsia="仿宋_GB2312" w:cs="Times New Roman"/>
          <w:color w:val="auto"/>
          <w:kern w:val="2"/>
          <w:sz w:val="32"/>
          <w:szCs w:val="32"/>
          <w:lang w:val="zh-CN" w:eastAsia="zh-CN" w:bidi="ar-SA"/>
        </w:rPr>
        <w:t>万元。从评价情况来看，</w:t>
      </w:r>
      <w:r>
        <w:rPr>
          <w:rFonts w:hint="eastAsia" w:ascii="Times New Roman" w:hAnsi="Times New Roman" w:eastAsia="仿宋_GB2312" w:cs="Times New Roman"/>
          <w:color w:val="auto"/>
          <w:kern w:val="2"/>
          <w:sz w:val="32"/>
          <w:szCs w:val="32"/>
          <w:lang w:val="en-US" w:eastAsia="zh-CN" w:bidi="ar-SA"/>
        </w:rPr>
        <w:t>预期绩效目标均基本完成并取得了显著成效。</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本单位在今年部门决算公开中反映</w:t>
      </w:r>
      <w:r>
        <w:rPr>
          <w:rFonts w:hint="eastAsia" w:ascii="Times New Roman" w:hAnsi="Times New Roman" w:eastAsia="仿宋_GB2312" w:cs="Times New Roman"/>
          <w:color w:val="auto"/>
          <w:kern w:val="2"/>
          <w:sz w:val="32"/>
          <w:szCs w:val="32"/>
          <w:lang w:val="en-US" w:eastAsia="zh-CN" w:bidi="ar-SA"/>
        </w:rPr>
        <w:t>园林项目工程款</w:t>
      </w:r>
      <w:r>
        <w:rPr>
          <w:rFonts w:hint="default" w:ascii="Times New Roman" w:hAnsi="Times New Roman" w:eastAsia="仿宋_GB2312" w:cs="Times New Roman"/>
          <w:color w:val="auto"/>
          <w:kern w:val="2"/>
          <w:sz w:val="32"/>
          <w:szCs w:val="32"/>
          <w:lang w:val="zh-CN" w:eastAsia="zh-CN" w:bidi="ar-SA"/>
        </w:rPr>
        <w:t>项目及</w:t>
      </w:r>
      <w:r>
        <w:rPr>
          <w:rFonts w:hint="eastAsia" w:ascii="Times New Roman" w:hAnsi="Times New Roman" w:eastAsia="仿宋_GB2312" w:cs="Times New Roman"/>
          <w:color w:val="auto"/>
          <w:kern w:val="2"/>
          <w:sz w:val="32"/>
          <w:szCs w:val="32"/>
          <w:lang w:val="en-US" w:eastAsia="zh-CN" w:bidi="ar-SA"/>
        </w:rPr>
        <w:t>园林城市维护费（基金）</w:t>
      </w:r>
      <w:r>
        <w:rPr>
          <w:rFonts w:hint="default" w:ascii="Times New Roman" w:hAnsi="Times New Roman" w:eastAsia="仿宋_GB2312" w:cs="Times New Roman"/>
          <w:color w:val="auto"/>
          <w:kern w:val="2"/>
          <w:sz w:val="32"/>
          <w:szCs w:val="32"/>
          <w:lang w:val="zh-CN" w:eastAsia="zh-CN" w:bidi="ar-SA"/>
        </w:rPr>
        <w:t>项目等</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个项目绩效自评结果。</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eastAsia" w:ascii="Times New Roman" w:hAnsi="Times New Roman" w:eastAsia="仿宋_GB2312" w:cs="Times New Roman"/>
          <w:color w:val="auto"/>
          <w:kern w:val="2"/>
          <w:sz w:val="32"/>
          <w:szCs w:val="32"/>
          <w:lang w:val="en-US" w:eastAsia="zh-CN" w:bidi="ar-SA"/>
        </w:rPr>
        <w:t>园林项目工程款</w:t>
      </w:r>
      <w:r>
        <w:rPr>
          <w:rFonts w:hint="default" w:ascii="Times New Roman" w:hAnsi="Times New Roman" w:eastAsia="仿宋_GB2312" w:cs="Times New Roman"/>
          <w:color w:val="auto"/>
          <w:kern w:val="2"/>
          <w:sz w:val="32"/>
          <w:szCs w:val="32"/>
          <w:lang w:val="zh-CN" w:eastAsia="zh-CN" w:bidi="ar-SA"/>
        </w:rPr>
        <w:t>项目绩效自评情况：根据年初设定的绩效目标，</w:t>
      </w:r>
      <w:r>
        <w:rPr>
          <w:rFonts w:hint="eastAsia" w:ascii="Times New Roman" w:hAnsi="Times New Roman" w:eastAsia="仿宋_GB2312" w:cs="Times New Roman"/>
          <w:color w:val="auto"/>
          <w:kern w:val="2"/>
          <w:sz w:val="32"/>
          <w:szCs w:val="32"/>
          <w:lang w:val="en-US" w:eastAsia="zh-CN" w:bidi="ar-SA"/>
        </w:rPr>
        <w:t>园林项目工程款</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99.5</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1440</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1424.98</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98.96</w:t>
      </w:r>
      <w:r>
        <w:rPr>
          <w:rFonts w:hint="default" w:ascii="Times New Roman" w:hAnsi="Times New Roman" w:eastAsia="仿宋_GB2312" w:cs="Times New Roman"/>
          <w:color w:val="auto"/>
          <w:kern w:val="2"/>
          <w:sz w:val="32"/>
          <w:szCs w:val="32"/>
          <w:lang w:val="zh-CN" w:eastAsia="zh-CN" w:bidi="ar-SA"/>
        </w:rPr>
        <w:t>%。项目绩效目标完成情况：按照评审结果支付工程尾款，按照施工进度支付工程款。</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right="0"/>
        <w:jc w:val="left"/>
        <w:textAlignment w:val="auto"/>
        <w:rPr>
          <w:rFonts w:hint="eastAsia"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zh-CN" w:eastAsia="zh-CN" w:bidi="ar-SA"/>
        </w:rPr>
        <w:t>附绩效自评表</w:t>
      </w:r>
      <w:r>
        <w:rPr>
          <w:rFonts w:hint="eastAsia" w:ascii="Times New Roman" w:hAnsi="Times New Roman" w:eastAsia="仿宋_GB2312" w:cs="Times New Roman"/>
          <w:color w:val="auto"/>
          <w:kern w:val="2"/>
          <w:sz w:val="32"/>
          <w:szCs w:val="32"/>
          <w:lang w:val="en-US" w:eastAsia="zh-CN" w:bidi="ar-SA"/>
        </w:rPr>
        <w:t>:</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right="0"/>
        <w:jc w:val="left"/>
        <w:textAlignment w:val="auto"/>
        <w:rPr>
          <w:rFonts w:hint="default" w:ascii="Times New Roman" w:hAnsi="Times New Roman" w:eastAsia="仿宋_GB2312" w:cs="Times New Roman"/>
          <w:color w:val="auto"/>
          <w:kern w:val="2"/>
          <w:sz w:val="32"/>
          <w:szCs w:val="32"/>
          <w:lang w:val="en-US" w:eastAsia="zh-CN" w:bidi="ar-SA"/>
        </w:rPr>
      </w:pPr>
      <w:r>
        <w:drawing>
          <wp:inline distT="0" distB="0" distL="114300" distR="114300">
            <wp:extent cx="5266055" cy="2386965"/>
            <wp:effectExtent l="0" t="0" r="10795" b="1333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1"/>
                    <a:stretch>
                      <a:fillRect/>
                    </a:stretch>
                  </pic:blipFill>
                  <pic:spPr>
                    <a:xfrm>
                      <a:off x="0" y="0"/>
                      <a:ext cx="5266055" cy="2386965"/>
                    </a:xfrm>
                    <a:prstGeom prst="rect">
                      <a:avLst/>
                    </a:prstGeom>
                    <a:noFill/>
                    <a:ln>
                      <a:noFill/>
                    </a:ln>
                  </pic:spPr>
                </pic:pic>
              </a:graphicData>
            </a:graphic>
          </wp:inline>
        </w:drawing>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eastAsia" w:ascii="Times New Roman" w:hAnsi="Times New Roman" w:eastAsia="仿宋_GB2312" w:cs="Times New Roman"/>
          <w:color w:val="auto"/>
          <w:kern w:val="2"/>
          <w:sz w:val="32"/>
          <w:szCs w:val="32"/>
          <w:lang w:val="en-US" w:eastAsia="zh-CN" w:bidi="ar-SA"/>
        </w:rPr>
        <w:t>园林城市维护费（基金）</w:t>
      </w:r>
      <w:r>
        <w:rPr>
          <w:rFonts w:hint="default" w:ascii="Times New Roman" w:hAnsi="Times New Roman" w:eastAsia="仿宋_GB2312" w:cs="Times New Roman"/>
          <w:color w:val="auto"/>
          <w:kern w:val="2"/>
          <w:sz w:val="32"/>
          <w:szCs w:val="32"/>
          <w:lang w:val="zh-CN" w:eastAsia="zh-CN" w:bidi="ar-SA"/>
        </w:rPr>
        <w:t>项目绩效自评情况</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zh-CN" w:eastAsia="zh-CN" w:bidi="ar-SA"/>
        </w:rPr>
        <w:t>根据年初设定的绩效目标，</w:t>
      </w:r>
      <w:r>
        <w:rPr>
          <w:rFonts w:hint="eastAsia" w:ascii="Times New Roman" w:hAnsi="Times New Roman" w:eastAsia="仿宋_GB2312" w:cs="Times New Roman"/>
          <w:color w:val="auto"/>
          <w:kern w:val="2"/>
          <w:sz w:val="32"/>
          <w:szCs w:val="32"/>
          <w:lang w:val="en-US" w:eastAsia="zh-CN" w:bidi="ar-SA"/>
        </w:rPr>
        <w:t>园林城市维护费（基金）</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98.24</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1800</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1483.06</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82.39</w:t>
      </w:r>
      <w:r>
        <w:rPr>
          <w:rFonts w:hint="default" w:ascii="Times New Roman" w:hAnsi="Times New Roman" w:eastAsia="仿宋_GB2312" w:cs="Times New Roman"/>
          <w:color w:val="auto"/>
          <w:kern w:val="2"/>
          <w:sz w:val="32"/>
          <w:szCs w:val="32"/>
          <w:lang w:val="zh-CN" w:eastAsia="zh-CN" w:bidi="ar-SA"/>
        </w:rPr>
        <w:t>%。项目绩效目标完成情况：市区乔灌木补植到位，苗木、草花采购达到城市绿化维护需要，美化城市绿化景观，提升城市形象及竞争力。</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right="0"/>
        <w:jc w:val="left"/>
        <w:textAlignment w:val="auto"/>
        <w:rPr>
          <w:rFonts w:hint="eastAsia"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zh-CN" w:eastAsia="zh-CN" w:bidi="ar-SA"/>
        </w:rPr>
        <w:t>附绩效自评表</w:t>
      </w:r>
      <w:r>
        <w:rPr>
          <w:rFonts w:hint="eastAsia" w:ascii="Times New Roman" w:hAnsi="Times New Roman" w:eastAsia="仿宋_GB2312" w:cs="Times New Roman"/>
          <w:color w:val="auto"/>
          <w:kern w:val="2"/>
          <w:sz w:val="32"/>
          <w:szCs w:val="32"/>
          <w:lang w:val="en-US" w:eastAsia="zh-CN" w:bidi="ar-SA"/>
        </w:rPr>
        <w:t>:</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right="0"/>
        <w:jc w:val="left"/>
        <w:textAlignment w:val="auto"/>
        <w:rPr>
          <w:rFonts w:hint="default" w:ascii="Times New Roman" w:hAnsi="Times New Roman" w:eastAsia="仿宋_GB2312" w:cs="Times New Roman"/>
          <w:color w:val="auto"/>
          <w:kern w:val="2"/>
          <w:sz w:val="32"/>
          <w:szCs w:val="32"/>
          <w:lang w:val="zh-CN" w:eastAsia="zh-CN" w:bidi="ar-SA"/>
        </w:rPr>
      </w:pPr>
      <w:r>
        <w:drawing>
          <wp:inline distT="0" distB="0" distL="114300" distR="114300">
            <wp:extent cx="5271135" cy="2524760"/>
            <wp:effectExtent l="0" t="0" r="5715"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2"/>
                    <a:stretch>
                      <a:fillRect/>
                    </a:stretch>
                  </pic:blipFill>
                  <pic:spPr>
                    <a:xfrm>
                      <a:off x="0" y="0"/>
                      <a:ext cx="5271135" cy="2524760"/>
                    </a:xfrm>
                    <a:prstGeom prst="rect">
                      <a:avLst/>
                    </a:prstGeom>
                    <a:noFill/>
                    <a:ln>
                      <a:noFill/>
                    </a:ln>
                  </pic:spPr>
                </pic:pic>
              </a:graphicData>
            </a:graphic>
          </wp:inline>
        </w:drawing>
      </w:r>
    </w:p>
    <w:p>
      <w:pPr>
        <w:numPr>
          <w:ilvl w:val="0"/>
          <w:numId w:val="3"/>
        </w:numPr>
        <w:adjustRightInd w:val="0"/>
        <w:snapToGrid w:val="0"/>
        <w:spacing w:line="580" w:lineRule="exact"/>
        <w:ind w:left="480" w:leftChars="200" w:firstLine="321" w:firstLineChars="100"/>
        <w:rPr>
          <w:rFonts w:hint="eastAsia"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rPr>
        <w:t>部门</w:t>
      </w:r>
      <w:r>
        <w:rPr>
          <w:rFonts w:hint="eastAsia" w:ascii="Times New Roman" w:hAnsi="Times New Roman" w:eastAsia="仿宋_GB2312" w:cs="Times New Roman"/>
          <w:b/>
          <w:bCs/>
          <w:sz w:val="32"/>
          <w:szCs w:val="32"/>
          <w:lang w:val="en-US" w:eastAsia="zh-CN"/>
        </w:rPr>
        <w:t>重点</w:t>
      </w:r>
      <w:r>
        <w:rPr>
          <w:rFonts w:hint="default" w:ascii="Times New Roman" w:hAnsi="Times New Roman" w:eastAsia="仿宋_GB2312" w:cs="Times New Roman"/>
          <w:b/>
          <w:bCs/>
          <w:sz w:val="32"/>
          <w:szCs w:val="32"/>
        </w:rPr>
        <w:t>评价项目绩效评价结果</w:t>
      </w:r>
      <w:r>
        <w:rPr>
          <w:rFonts w:hint="eastAsia" w:ascii="Times New Roman" w:hAnsi="Times New Roman" w:eastAsia="仿宋_GB2312" w:cs="Times New Roman"/>
          <w:b/>
          <w:bCs/>
          <w:sz w:val="32"/>
          <w:szCs w:val="32"/>
          <w:lang w:val="en-US" w:eastAsia="zh-CN"/>
        </w:rPr>
        <w:t>:</w:t>
      </w:r>
    </w:p>
    <w:p>
      <w:pPr>
        <w:pStyle w:val="26"/>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奥体公园建设项目，资金到位数1000万元，预算执行数1000万元，资金来源为财政资金拨款，资金性质为一般公共预算，完成了种植土回填、地形整理、水电管网铺设、多功能运动场、北部公厕主体建设及植物材料的种植工作，实现了年度绩效目标。</w:t>
      </w:r>
    </w:p>
    <w:p>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本部门2023年度</w:t>
      </w:r>
      <w:r>
        <w:rPr>
          <w:rFonts w:hint="eastAsia" w:ascii="Times New Roman" w:hAnsi="Times New Roman" w:eastAsia="仿宋_GB2312" w:cs="Times New Roman"/>
          <w:sz w:val="32"/>
          <w:szCs w:val="32"/>
          <w:lang w:val="en-US" w:eastAsia="zh-CN"/>
        </w:rPr>
        <w:t>国有资本经营预算财政拨款支出</w:t>
      </w:r>
      <w:r>
        <w:rPr>
          <w:rFonts w:hint="default" w:ascii="Times New Roman" w:hAnsi="Times New Roman" w:eastAsia="仿宋_GB2312" w:cs="Times New Roman"/>
          <w:sz w:val="32"/>
          <w:szCs w:val="32"/>
        </w:rPr>
        <w:t>无收支及结转结余情况，故</w:t>
      </w:r>
      <w:r>
        <w:rPr>
          <w:rFonts w:hint="eastAsia" w:ascii="Times New Roman" w:hAnsi="Times New Roman" w:eastAsia="仿宋_GB2312" w:cs="Times New Roman"/>
          <w:sz w:val="32"/>
          <w:szCs w:val="32"/>
          <w:lang w:val="en-US" w:eastAsia="zh-CN"/>
        </w:rPr>
        <w:t>公开08</w:t>
      </w:r>
      <w:r>
        <w:rPr>
          <w:rFonts w:hint="default" w:ascii="Times New Roman" w:hAnsi="Times New Roman" w:eastAsia="仿宋_GB2312" w:cs="Times New Roman"/>
          <w:sz w:val="32"/>
          <w:szCs w:val="32"/>
        </w:rPr>
        <w:t>表以空表列示。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rPr>
          <w:rFonts w:hint="default" w:ascii="Times New Roman" w:hAnsi="Times New Roman" w:eastAsia="仿宋_GB2312" w:cs="Times New Roman"/>
          <w:sz w:val="32"/>
          <w:szCs w:val="32"/>
        </w:rPr>
      </w:pP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rPr>
          <w:rFonts w:hint="default" w:ascii="Times New Roman" w:hAnsi="Times New Roman" w:cs="Times New Roman"/>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3E8F8A4F-41AB-46FE-8870-5531E19F5DEE}"/>
  </w:font>
  <w:font w:name="黑体">
    <w:panose1 w:val="02010609060101010101"/>
    <w:charset w:val="86"/>
    <w:family w:val="auto"/>
    <w:pitch w:val="default"/>
    <w:sig w:usb0="800002BF" w:usb1="38CF7CFA" w:usb2="00000016" w:usb3="00000000" w:csb0="00040001" w:csb1="00000000"/>
    <w:embedRegular r:id="rId2" w:fontKey="{DB44FD00-B1F9-4F4B-9FCE-D2C8D56354B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0737850E-24C6-40C7-8748-775C9ABDA8D1}"/>
  </w:font>
  <w:font w:name="仿宋">
    <w:panose1 w:val="02010609060101010101"/>
    <w:charset w:val="86"/>
    <w:family w:val="modern"/>
    <w:pitch w:val="default"/>
    <w:sig w:usb0="800002BF" w:usb1="38CF7CFA" w:usb2="00000016" w:usb3="00000000" w:csb0="00040001" w:csb1="00000000"/>
    <w:embedRegular r:id="rId4" w:fontKey="{9D6BB7EE-F8C3-41C7-98F0-33C741C1DE04}"/>
  </w:font>
  <w:font w:name="Calibri Light">
    <w:panose1 w:val="020F0302020204030204"/>
    <w:charset w:val="00"/>
    <w:family w:val="auto"/>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EDB80764-893C-457F-AB6D-F3E975E31FEB}"/>
  </w:font>
  <w:font w:name="思源黑体 CN Heavy">
    <w:altName w:val="黑体"/>
    <w:panose1 w:val="00000000000000000000"/>
    <w:charset w:val="86"/>
    <w:family w:val="swiss"/>
    <w:pitch w:val="default"/>
    <w:sig w:usb0="00000000" w:usb1="00000000" w:usb2="00000016" w:usb3="00000000" w:csb0="00060107" w:csb1="00000000"/>
    <w:embedRegular r:id="rId6" w:fontKey="{3CF4100C-9DED-43A7-B3A9-A3DE2642F77C}"/>
  </w:font>
  <w:font w:name="楷体_GB2312">
    <w:panose1 w:val="02010609030101010101"/>
    <w:charset w:val="86"/>
    <w:family w:val="auto"/>
    <w:pitch w:val="default"/>
    <w:sig w:usb0="00000000" w:usb1="00000000" w:usb2="00000000" w:usb3="00000000" w:csb0="00000000" w:csb1="00000000"/>
    <w:embedRegular r:id="rId7" w:fontKey="{831148D2-E971-4039-816D-508D2CB784D9}"/>
  </w:font>
  <w:font w:name="仿宋_GB2312">
    <w:panose1 w:val="02010609030101010101"/>
    <w:charset w:val="86"/>
    <w:family w:val="auto"/>
    <w:pitch w:val="default"/>
    <w:sig w:usb0="00000000" w:usb1="00000000" w:usb2="00000000" w:usb3="00000000" w:csb0="00000000" w:csb1="00000000"/>
    <w:embedRegular r:id="rId8" w:fontKey="{9F032BC7-1B39-4C2E-9C9A-E682549E367D}"/>
  </w:font>
  <w:font w:name="ArialUnicodeMS">
    <w:altName w:val="Malgun Gothic"/>
    <w:panose1 w:val="00000000000000000000"/>
    <w:charset w:val="81"/>
    <w:family w:val="auto"/>
    <w:pitch w:val="default"/>
    <w:sig w:usb0="00000000" w:usb1="00000000" w:usb2="00000010" w:usb3="00000000" w:csb0="00080001" w:csb1="00000000"/>
    <w:embedRegular r:id="rId9" w:fontKey="{1EE11341-352D-4471-9C95-2164676A1B9E}"/>
  </w:font>
  <w:font w:name="方正仿宋_GB2312">
    <w:panose1 w:val="02000000000000000000"/>
    <w:charset w:val="86"/>
    <w:family w:val="auto"/>
    <w:pitch w:val="default"/>
    <w:sig w:usb0="00000000" w:usb1="00000000" w:usb2="00000000" w:usb3="00000000" w:csb0="00000000" w:csb1="00000000"/>
    <w:embedRegular r:id="rId10" w:fontKey="{ADAB498D-97FF-413D-911C-25956885A4EE}"/>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3"/>
      <w:lvlText w:val="%1."/>
      <w:lvlJc w:val="left"/>
      <w:pPr>
        <w:ind w:left="425" w:hanging="425"/>
      </w:pPr>
      <w:rPr>
        <w:rFonts w:hint="default"/>
      </w:rPr>
    </w:lvl>
    <w:lvl w:ilvl="1" w:tentative="0">
      <w:start w:val="1"/>
      <w:numFmt w:val="decimal"/>
      <w:pStyle w:val="4"/>
      <w:lvlText w:val="%1.%2."/>
      <w:lvlJc w:val="left"/>
      <w:pPr>
        <w:ind w:left="567" w:hanging="567"/>
      </w:pPr>
      <w:rPr>
        <w:rFonts w:hint="default"/>
      </w:rPr>
    </w:lvl>
    <w:lvl w:ilvl="2" w:tentative="0">
      <w:start w:val="1"/>
      <w:numFmt w:val="decimal"/>
      <w:pStyle w:val="5"/>
      <w:lvlText w:val="%1.%2.%3."/>
      <w:lvlJc w:val="left"/>
      <w:pPr>
        <w:ind w:left="709" w:hanging="709"/>
      </w:pPr>
      <w:rPr>
        <w:rFonts w:hint="default"/>
      </w:rPr>
    </w:lvl>
    <w:lvl w:ilvl="3" w:tentative="0">
      <w:start w:val="1"/>
      <w:numFmt w:val="decimal"/>
      <w:pStyle w:val="6"/>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6A121CE3"/>
    <w:multiLevelType w:val="singleLevel"/>
    <w:tmpl w:val="6A121CE3"/>
    <w:lvl w:ilvl="0" w:tentative="0">
      <w:start w:val="3"/>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gsImhkaWQiOiI5YTIwYTJiYTk5NjYyYTEzNzNhNjhmZWFlMTE3Zjk3MS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695279B"/>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1D4710"/>
    <w:rsid w:val="1C3D67D1"/>
    <w:rsid w:val="1C40731A"/>
    <w:rsid w:val="1C506572"/>
    <w:rsid w:val="1C560392"/>
    <w:rsid w:val="1C576A4A"/>
    <w:rsid w:val="1C581532"/>
    <w:rsid w:val="1CA15E03"/>
    <w:rsid w:val="1CA24F0C"/>
    <w:rsid w:val="1CF8716C"/>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EA3248"/>
    <w:rsid w:val="28F879DA"/>
    <w:rsid w:val="294B7731"/>
    <w:rsid w:val="29514455"/>
    <w:rsid w:val="296460FB"/>
    <w:rsid w:val="29D21FF2"/>
    <w:rsid w:val="2A611B0F"/>
    <w:rsid w:val="2AC1762B"/>
    <w:rsid w:val="2AE845D0"/>
    <w:rsid w:val="2B4975FB"/>
    <w:rsid w:val="2B695031"/>
    <w:rsid w:val="2B735A8F"/>
    <w:rsid w:val="2BA7478D"/>
    <w:rsid w:val="2BB038DB"/>
    <w:rsid w:val="2BB761E0"/>
    <w:rsid w:val="2BB812F9"/>
    <w:rsid w:val="2BBE5F38"/>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CFC6FBD"/>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6F9466B"/>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AE5B54"/>
    <w:rsid w:val="50F1461D"/>
    <w:rsid w:val="50FE4225"/>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0089C"/>
    <w:rsid w:val="5CF5796F"/>
    <w:rsid w:val="5D242A11"/>
    <w:rsid w:val="5D9217C2"/>
    <w:rsid w:val="5DAD06BF"/>
    <w:rsid w:val="5DE23CB3"/>
    <w:rsid w:val="5DE97EEC"/>
    <w:rsid w:val="5DFA5EB0"/>
    <w:rsid w:val="5E000E4D"/>
    <w:rsid w:val="5E0B583E"/>
    <w:rsid w:val="5E201A7B"/>
    <w:rsid w:val="5EA45884"/>
    <w:rsid w:val="5EBD0484"/>
    <w:rsid w:val="5EC63FEA"/>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672961"/>
    <w:rsid w:val="65A11EA3"/>
    <w:rsid w:val="65AC3D66"/>
    <w:rsid w:val="65BB5334"/>
    <w:rsid w:val="663E1DBA"/>
    <w:rsid w:val="665D0213"/>
    <w:rsid w:val="669E59F1"/>
    <w:rsid w:val="66A2024B"/>
    <w:rsid w:val="6704732B"/>
    <w:rsid w:val="670F6731"/>
    <w:rsid w:val="671A4D6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5B17B0"/>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A27DF6"/>
    <w:rsid w:val="78FF3F88"/>
    <w:rsid w:val="79285B3A"/>
    <w:rsid w:val="79625CA9"/>
    <w:rsid w:val="79A91196"/>
    <w:rsid w:val="79D930D8"/>
    <w:rsid w:val="7A0B32D3"/>
    <w:rsid w:val="7AC13CD3"/>
    <w:rsid w:val="7ADC6DF2"/>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3">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4">
    <w:name w:val="heading 2"/>
    <w:basedOn w:val="1"/>
    <w:next w:val="1"/>
    <w:link w:val="16"/>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5">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6">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Indent 2"/>
    <w:basedOn w:val="1"/>
    <w:unhideWhenUsed/>
    <w:qFormat/>
    <w:uiPriority w:val="99"/>
    <w:pPr>
      <w:spacing w:line="480" w:lineRule="auto"/>
      <w:ind w:left="420" w:leftChars="200"/>
    </w:pPr>
  </w:style>
  <w:style w:type="paragraph" w:styleId="7">
    <w:name w:val="annotation text"/>
    <w:basedOn w:val="1"/>
    <w:semiHidden/>
    <w:unhideWhenUsed/>
    <w:qFormat/>
    <w:uiPriority w:val="99"/>
    <w:pPr>
      <w:jc w:val="left"/>
    </w:pPr>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4"/>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 w:type="paragraph" w:customStyle="1" w:styleId="26">
    <w:name w:val="纯文本1"/>
    <w:basedOn w:val="1"/>
    <w:qFormat/>
    <w:uiPriority w:val="0"/>
    <w:rPr>
      <w:rFonts w:hint="eastAsia" w:ascii="宋体" w:hAnsi="Courier New"/>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1.sv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43</Pages>
  <Words>9970</Words>
  <Characters>22801</Characters>
  <Lines>86</Lines>
  <Paragraphs>24</Paragraphs>
  <TotalTime>44</TotalTime>
  <ScaleCrop>false</ScaleCrop>
  <LinksUpToDate>false</LinksUpToDate>
  <CharactersWithSpaces>23431</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2024-09-20T03:37:00Z</cp:lastPrinted>
  <dcterms:modified xsi:type="dcterms:W3CDTF">2024-09-26T01:08:54Z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E51992B9E4F1441CBC96F02734AA4F8B_13</vt:lpwstr>
  </property>
  <property fmtid="{D5CDD505-2E9C-101B-9397-08002B2CF9AE}" pid="4" name="KSOTemplateUUID">
    <vt:lpwstr>v1.0_mb_S7ajbG3IpAnL1wSthNCxfw==</vt:lpwstr>
  </property>
</Properties>
</file>