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9"/>
                    <a:stretch>
                      <a:fillRect/>
                    </a:stretch>
                  </pic:blipFill>
                  <pic:spPr>
                    <a:xfrm>
                      <a:off x="0" y="0"/>
                      <a:ext cx="215900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0"/>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1"/>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-2783205</wp:posOffset>
                </wp:positionH>
                <wp:positionV relativeFrom="paragraph">
                  <wp:posOffset>2138680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219.15pt;margin-top:168.4pt;height:113.95pt;width:712.85pt;z-index:251662336;mso-width-relative:page;mso-height-relative:page;" coordorigin="-3504,4387" coordsize="19200,2716" o:gfxdata="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FgAAAGRycy9QSwECFAAUAAAACACHTuJA6dSH190AAAAMAQAADwAAAAAAAAABACAAAAA4&#10;AAAAZHJzL2Rvd25yZXYueG1sUEsBAhQAFAAAAAgAh07iQHg9uwy3AwAAgQwAAA4AAAAAAAAAAQAg&#10;AAAAQgEAAGRycy9lMm9Eb2MueG1sUEsFBgAAAAAGAAYAWQEAAGsHAAAAAA==&#10;">
                <o:lock v:ext="edit" aspectratio="f"/>
                <v:rect id="矩形 19" o:spid="_x0000_s1026" o:spt="1" style="position:absolute;left:-381;top:4387;height:2457;width:1834;v-text-anchor:middle;" fillcolor="#0176AB" filled="t" stroked="f" coordsize="21600,21600" o:gfxdata="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j978AAAADdAAAADwAAAAAAAAABACAAAAA4AAAAZHJzL2Rvd25y&#10;ZXYueG1sUEsBAhQAFAAAAAgAh07iQDMvBZ47AAAAOQAAABAAAAAAAAAAAQAgAAAAJQEAAGRycy9z&#10;aGFwZXhtbC54bWxQSwUGAAAAAAYABgBbAQAAzwMAAAAA&#10;">
                  <v:fill on="t" focussize="0,0"/>
                  <v:stroke on="f"/>
                  <v:imagedata o:title=""/>
                  <o:lock v:ext="edit" aspectratio="f"/>
                </v:rect>
                <v:shape id="矩形 24" o:spid="_x0000_s1026" o:spt="100" style="position:absolute;left:-3504;top:6953;height:150;width:11815;" fillcolor="#E5AA57" filled="t" stroked="f" coordsize="7501732,94593" o:gfxdata="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HV+jsAAAADdAAAADwAAAAAAAAABACAAAAA4AAAAZHJzL2Rvd25y&#10;ZXYueG1sUEsBAhQAFAAAAAgAh07iQDMvBZ47AAAAOQAAABAAAAAAAAAAAQAgAAAAJQEAAGRycy9z&#10;aGFwZXhtbC54bWxQSwUGAAAAAAYABgBbAQAAzwM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&#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fRoQduQAAAN0AAAAPAAAAAAAAAAEAIAAAADgAAABkcnMvZG93bnJldi54bWxQ&#10;SwECFAAUAAAACACHTuJAMy8FnjsAAAA5AAAAEAAAAAAAAAABACAAAAAeAQAAZHJzL3NoYXBleG1s&#10;LnhtbFBLBQYAAAAABgAGAFsBAADIAw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g">
            <w:drawing>
              <wp:anchor distT="0" distB="0" distL="114300" distR="114300" simplePos="0" relativeHeight="251661312"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1312;mso-width-relative:page;mso-height-relative:page;" coordorigin="12098,1831" coordsize="9377,2969" o:gfxdata="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W&#10;AAAAZHJzL1BLAQIUABQAAAAIAIdO4kCVBwvF2wAAAAsBAAAPAAAAAAAAAAEAIAAAADgAAABkcnMv&#10;ZG93bnJldi54bWxQSwECFAAUAAAACACHTuJA80AkykADAABECQAADgAAAAAAAAABACAAAABAAQAA&#10;ZHJzL2Uyb0RvYy54bWxQSwUGAAAAAAYABgBZAQAA8gYAAAAA&#10;">
                <o:lock v:ext="edit" aspectratio="f"/>
                <v:shape id="文本框 32" o:spid="_x0000_s1026" o:spt="202" type="#_x0000_t202" style="position:absolute;left:13325;top:1831;height:1348;width:4462;" filled="f" stroked="f" coordsize="21600,21600" o:gfxdata="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qDuuy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shape id="文本框 32" o:spid="_x0000_s1026" o:spt="202" type="#_x0000_t202" style="position:absolute;left:6119;top:2843;height:1421;width:9377;"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tPjOe+AAAA2gAAAA8AAAAAAAAAAQAgAAAAOAAAAGRycy9kb3ducmV2&#10;LnhtbFBLAQIUABQAAAAIAIdO4kAzLwWeOwAAADkAAAAQAAAAAAAAAAEAIAAAACMBAABkcnMvc2hh&#10;cGV4bWwueG1sUEsFBgAAAAAGAAYAWwEAAM0DAAAAAA==&#10;">
                    <v:fill on="f" focussize="0,0"/>
                    <v:stroke weight="2.25pt" color="#325395 [3204]" miterlimit="8" joinstyle="miter" dashstyle="1 1"/>
                    <v:imagedata o:title=""/>
                    <o:lock v:ext="edit" aspectratio="f"/>
                  </v:line>
                </v:group>
              </v:group>
            </w:pict>
          </mc:Fallback>
        </mc:AlternateContent>
      </w:r>
      <w: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FmpZa/YAAAACwEAAA8AAAAAAAAAAQAgAAAA&#10;OAAAAGRycy9kb3ducmV2LnhtbFBLAQIUABQAAAAIAIdO4kBbvW5XvAEAAF8DAAAOAAAAAAAAAAEA&#10;IAAAAD0BAABkcnMvZTJvRG9jLnhtbFBLBQYAAAAABgAGAFkBAABrBQ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509003</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：衡水市广场管理中心</w:t>
      </w:r>
    </w:p>
    <w:p>
      <w:pPr>
        <w:spacing w:line="600" w:lineRule="auto"/>
        <w:jc w:val="left"/>
        <w:rPr>
          <w:rFonts w:hint="default" w:ascii="楷体_GB2312" w:hAnsi="楷体_GB2312" w:eastAsia="楷体_GB2312" w:cs="楷体_GB2312"/>
          <w:color w:val="000000"/>
          <w:sz w:val="40"/>
          <w:szCs w:val="40"/>
          <w:lang w:val="en-US" w:eastAsia="zh-CN"/>
        </w:rPr>
      </w:pPr>
    </w:p>
    <w:p>
      <w:pPr>
        <w:spacing w:line="600" w:lineRule="auto"/>
        <w:jc w:val="center"/>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w:t>
      </w:r>
      <w:r>
        <w:rPr>
          <w:rFonts w:hint="eastAsia" w:ascii="楷体_GB2312" w:hAnsi="楷体_GB2312" w:eastAsia="楷体_GB2312" w:cs="楷体_GB2312"/>
          <w:color w:val="000000"/>
          <w:sz w:val="40"/>
          <w:szCs w:val="40"/>
          <w:lang w:val="en-US" w:eastAsia="zh-CN"/>
        </w:rPr>
        <w:t>十</w:t>
      </w:r>
      <w:r>
        <w:rPr>
          <w:rFonts w:hint="eastAsia" w:ascii="楷体_GB2312" w:hAnsi="楷体_GB2312" w:eastAsia="楷体_GB2312" w:cs="楷体_GB2312"/>
          <w:color w:val="000000"/>
          <w:sz w:val="40"/>
          <w:szCs w:val="40"/>
        </w:rPr>
        <w:t>月</w:t>
      </w:r>
    </w:p>
    <w:p>
      <w:pP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fill="FFFFFF"/>
        </w:rPr>
        <w:t xml:space="preserve">第一部分  </w:t>
      </w: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rPr>
          <w:rFonts w:hint="eastAsia" w:ascii="黑体" w:hAnsi="宋体" w:eastAsia="黑体" w:cs="黑体"/>
          <w:i w:val="0"/>
          <w:iCs w:val="0"/>
          <w:caps w:val="0"/>
          <w:color w:val="000000"/>
          <w:spacing w:val="0"/>
          <w:sz w:val="33"/>
          <w:szCs w:val="33"/>
          <w:highlight w:val="none"/>
          <w:shd w:val="clear" w:fill="FFFFFF"/>
        </w:rPr>
      </w:pPr>
      <w:r>
        <w:rPr>
          <w:rFonts w:hint="eastAsia" w:ascii="黑体" w:hAnsi="宋体" w:eastAsia="黑体" w:cs="黑体"/>
          <w:i w:val="0"/>
          <w:iCs w:val="0"/>
          <w:caps w:val="0"/>
          <w:color w:val="000000"/>
          <w:spacing w:val="0"/>
          <w:sz w:val="33"/>
          <w:szCs w:val="33"/>
          <w:highlight w:val="none"/>
          <w:shd w:val="clear" w:fill="FFFFFF"/>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32"/>
          <w:szCs w:val="32"/>
          <w:highlight w:val="none"/>
          <w:shd w:val="clear" w:fill="FFFFFF"/>
        </w:rPr>
        <w:t>一、</w:t>
      </w:r>
      <w:r>
        <w:rPr>
          <w:rFonts w:hint="eastAsia" w:ascii="黑体" w:hAnsi="宋体" w:eastAsia="黑体" w:cs="黑体"/>
          <w:i w:val="0"/>
          <w:iCs w:val="0"/>
          <w:caps w:val="0"/>
          <w:color w:val="000000"/>
          <w:spacing w:val="0"/>
          <w:sz w:val="32"/>
          <w:szCs w:val="32"/>
          <w:highlight w:val="none"/>
          <w:shd w:val="clear" w:fill="FFFFFF"/>
          <w:lang w:eastAsia="zh-CN"/>
        </w:rPr>
        <w:t>单位</w:t>
      </w:r>
      <w:r>
        <w:rPr>
          <w:rFonts w:hint="eastAsia" w:ascii="黑体" w:hAnsi="宋体" w:eastAsia="黑体" w:cs="黑体"/>
          <w:i w:val="0"/>
          <w:iCs w:val="0"/>
          <w:caps w:val="0"/>
          <w:color w:val="000000"/>
          <w:spacing w:val="0"/>
          <w:sz w:val="32"/>
          <w:szCs w:val="32"/>
          <w:highlight w:val="none"/>
          <w:shd w:val="clear" w:fill="FFFFFF"/>
        </w:rPr>
        <w:t>职责</w:t>
      </w: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我单位</w:t>
      </w:r>
      <w:r>
        <w:rPr>
          <w:rFonts w:hint="eastAsia" w:ascii="仿宋_GB2312" w:hAnsi="仿宋_GB2312" w:eastAsia="仿宋_GB2312" w:cs="仿宋_GB2312"/>
          <w:i w:val="0"/>
          <w:iCs w:val="0"/>
          <w:caps w:val="0"/>
          <w:color w:val="auto"/>
          <w:spacing w:val="0"/>
          <w:sz w:val="32"/>
          <w:szCs w:val="32"/>
          <w:highlight w:val="none"/>
          <w:shd w:val="clear" w:fill="FFFFFF"/>
        </w:rPr>
        <w:t>负责体育休闲广场和人民广场的管理，提供体育健身休闲场所，丰富人民群众文化生活，提供休闲场所、广场工程设计、广场绿地管理、广场卫生管理、植物栽培与养护、广场游览与娱乐项目组织管理，科普宣传教育，广场广告活动、广告设施、广告载体管理，广场摊位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fill="FFFFFF"/>
        </w:rPr>
        <w:t>二、机构设置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fill="FFFFFF"/>
        </w:rPr>
      </w:pPr>
      <w:r>
        <w:rPr>
          <w:rFonts w:hint="default" w:ascii="仿宋_GB2312" w:hAnsi="仿宋_GB2312" w:eastAsia="仿宋_GB2312" w:cs="仿宋_GB2312"/>
          <w:i w:val="0"/>
          <w:iCs w:val="0"/>
          <w:caps w:val="0"/>
          <w:color w:val="auto"/>
          <w:spacing w:val="0"/>
          <w:sz w:val="32"/>
          <w:szCs w:val="32"/>
          <w:highlight w:val="none"/>
          <w:shd w:val="clear" w:fill="FFFFFF"/>
        </w:rPr>
        <w:t>从决算编报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构成看，纳入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w:t>
      </w:r>
      <w:r>
        <w:rPr>
          <w:rFonts w:hint="default" w:ascii="仿宋_GB2312" w:hAnsi="仿宋_GB2312" w:eastAsia="仿宋_GB2312" w:cs="仿宋_GB2312"/>
          <w:i w:val="0"/>
          <w:iCs w:val="0"/>
          <w:caps w:val="0"/>
          <w:color w:val="auto"/>
          <w:spacing w:val="0"/>
          <w:sz w:val="32"/>
          <w:szCs w:val="32"/>
          <w:highlight w:val="none"/>
          <w:shd w:val="clear" w:fill="FFFFFF"/>
        </w:rPr>
        <w:t>年度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本部门</w:t>
      </w:r>
      <w:r>
        <w:rPr>
          <w:rFonts w:hint="default" w:ascii="仿宋_GB2312" w:hAnsi="仿宋_GB2312" w:eastAsia="仿宋_GB2312" w:cs="仿宋_GB2312"/>
          <w:i w:val="0"/>
          <w:iCs w:val="0"/>
          <w:caps w:val="0"/>
          <w:color w:val="auto"/>
          <w:spacing w:val="0"/>
          <w:sz w:val="32"/>
          <w:szCs w:val="32"/>
          <w:highlight w:val="none"/>
          <w:shd w:val="clear" w:fill="FFFFFF"/>
        </w:rPr>
        <w:t>决算汇编范围的独立核算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（以下简称“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default" w:ascii="仿宋_GB2312" w:hAnsi="仿宋_GB2312" w:eastAsia="仿宋_GB2312" w:cs="仿宋_GB2312"/>
          <w:i w:val="0"/>
          <w:iCs w:val="0"/>
          <w:caps w:val="0"/>
          <w:color w:val="auto"/>
          <w:spacing w:val="0"/>
          <w:sz w:val="32"/>
          <w:szCs w:val="32"/>
          <w:highlight w:val="none"/>
          <w:shd w:val="clear" w:fill="FFFFFF"/>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130"/>
        <w:gridCol w:w="2520"/>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13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52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9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130" w:type="dxa"/>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衡水市广场管理中心</w:t>
            </w:r>
          </w:p>
        </w:tc>
        <w:tc>
          <w:tcPr>
            <w:tcW w:w="2520"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财政补助事业单位 </w:t>
            </w:r>
          </w:p>
        </w:tc>
        <w:tc>
          <w:tcPr>
            <w:tcW w:w="29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widowControl/>
        <w:spacing w:after="160" w:line="580" w:lineRule="exact"/>
        <w:ind w:firstLine="640" w:firstLineChars="200"/>
        <w:rPr>
          <w:rFonts w:hint="eastAsia" w:ascii="Times New Roman" w:hAnsi="Times New Roman" w:eastAsia="黑体" w:cs="Times New Roman"/>
          <w:sz w:val="32"/>
          <w:szCs w:val="32"/>
          <w:highlight w:val="yellow"/>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highlight w:val="none"/>
        </w:rPr>
      </w:pPr>
      <w:r>
        <w:rPr>
          <w:rFonts w:hint="default" w:ascii="Arial" w:hAnsi="Arial" w:eastAsia="Arial" w:cs="Arial"/>
          <w:i w:val="0"/>
          <w:iCs w:val="0"/>
          <w:caps w:val="0"/>
          <w:color w:val="000000"/>
          <w:spacing w:val="0"/>
          <w:kern w:val="0"/>
          <w:sz w:val="18"/>
          <w:szCs w:val="18"/>
          <w:highlight w:val="none"/>
          <w:shd w:val="clear" w:fill="FFFFFF"/>
          <w:lang w:val="en-US" w:eastAsia="zh-CN" w:bidi="ar"/>
        </w:rPr>
        <w:t> </w:t>
      </w: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第二部分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lang w:val="en-US" w:eastAsia="zh-CN"/>
        </w:rPr>
        <w:t>2023</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w:t>
      </w:r>
      <w:r>
        <w:rPr>
          <w:rFonts w:hint="eastAsia" w:ascii="黑体" w:hAnsi="宋体" w:eastAsia="黑体" w:cs="黑体"/>
          <w:i w:val="0"/>
          <w:iCs w:val="0"/>
          <w:caps w:val="0"/>
          <w:color w:val="000000"/>
          <w:spacing w:val="0"/>
          <w:sz w:val="72"/>
          <w:szCs w:val="72"/>
          <w:highlight w:val="none"/>
          <w:shd w:val="clear" w:fill="FFFFFF"/>
        </w:rPr>
        <w:t>部门决算报表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sectPr>
          <w:headerReference r:id="rId7"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编制单位：衡水市广场管理中心</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246.72</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198.11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注：1.本表反映单位本年度的总收支和年末结转结余情况。2.本套报表金额转换时可能存在尾数误差。</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黑体" w:hAnsi="黑体" w:eastAsia="黑体" w:cs="宋体"/>
          <w:bCs/>
          <w:kern w:val="0"/>
          <w:sz w:val="32"/>
          <w:szCs w:val="32"/>
          <w:highlight w:val="none"/>
        </w:rPr>
      </w:pP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编制单位：衡水市广场管理中心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444.83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444.83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44.72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44.72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44.72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44.72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26.79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26.79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379.12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379.12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城乡社区环境卫生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181.01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181.01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城乡社区环境卫生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181.01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181.01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21213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城市基础设施配套费安排的支出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2121302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城市环境卫生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14.34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编制单位：衡水市广场管理中心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208.13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236.71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379.12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236.71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181.01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181.01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21213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城市基础设施配套费安排的支出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2121302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城市环境卫生</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编制单位：衡水市广场管理中心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246.72</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198.11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44.72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44.72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6.66</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6.66</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379.12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181.01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198.11</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14.34</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14.34</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246.72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198.11</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444.83</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246.72</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198.11</w:t>
            </w: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注：本表反映单位本年度一般公共预算财政拨款、政府性基金预算财政拨款和国有资本经营预算财政拨款的总收支和年末结转结余情况。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pacing w:val="-2"/>
          <w:sz w:val="20"/>
          <w:highlight w:val="none"/>
          <w:lang w:val="en-US" w:eastAsia="zh-CN"/>
        </w:rPr>
      </w:pPr>
    </w:p>
    <w:tbl>
      <w:tblPr>
        <w:tblStyle w:val="11"/>
        <w:tblW w:w="5455"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
        <w:gridCol w:w="3416"/>
        <w:gridCol w:w="336"/>
        <w:gridCol w:w="982"/>
        <w:gridCol w:w="1037"/>
        <w:gridCol w:w="383"/>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编制单位：衡水市广场管理中心</w:t>
            </w:r>
          </w:p>
        </w:tc>
        <w:tc>
          <w:tcPr>
            <w:tcW w:w="155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1"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246.72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208.13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44.72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181.01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181.01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181.01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142.41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14.34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编制单位：衡水市广场管理中心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172.78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8.52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54.47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3.68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9.69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30.18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38.41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17.93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0.20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0.10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6.66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2.28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0.30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26.79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0.18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0.48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199.61</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注：本表反映单位本年度一般公共预算财政拨款基本支出明细情况。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编制单位：衡水市广场管理中心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198.11</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198.11</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198.11</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21213</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城市基础设施配套费安排的支出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2121302</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城市环境卫生</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198.11</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7"/>
        <w:gridCol w:w="731"/>
        <w:gridCol w:w="1296"/>
        <w:gridCol w:w="1332"/>
        <w:gridCol w:w="5"/>
        <w:gridCol w:w="47"/>
        <w:gridCol w:w="1281"/>
        <w:gridCol w:w="10"/>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编制单位：衡水市广场管理中心</w:t>
            </w:r>
          </w:p>
        </w:tc>
        <w:tc>
          <w:tcPr>
            <w:tcW w:w="1666"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2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484"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484"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831"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831"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821"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60"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21"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828"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82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82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注：本表反映单位本年度国有资本经营预算财政拨款支出情况。本单位本年度无相关支出情况，按要求以空表列示。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编制单位：衡水市广场管理中心</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1.20</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1.20</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0.48</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0.48</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0.48</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第三部分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20"/>
          <w:highlight w:val="none"/>
        </w:rPr>
      </w:pPr>
      <w:r>
        <w:rPr>
          <w:rFonts w:hint="eastAsia" w:ascii="黑体" w:hAnsi="宋体" w:eastAsia="黑体" w:cs="黑体"/>
          <w:i w:val="0"/>
          <w:iCs w:val="0"/>
          <w:caps w:val="0"/>
          <w:color w:val="000000"/>
          <w:spacing w:val="-20"/>
          <w:sz w:val="72"/>
          <w:szCs w:val="72"/>
          <w:highlight w:val="none"/>
          <w:shd w:val="clear" w:fill="FFFFFF"/>
        </w:rPr>
        <w:t>202</w:t>
      </w:r>
      <w:r>
        <w:rPr>
          <w:rFonts w:hint="eastAsia" w:ascii="黑体" w:hAnsi="宋体" w:eastAsia="黑体" w:cs="黑体"/>
          <w:i w:val="0"/>
          <w:iCs w:val="0"/>
          <w:caps w:val="0"/>
          <w:color w:val="000000"/>
          <w:spacing w:val="-20"/>
          <w:sz w:val="72"/>
          <w:szCs w:val="72"/>
          <w:highlight w:val="none"/>
          <w:shd w:val="clear" w:fill="FFFFFF"/>
          <w:lang w:val="en-US" w:eastAsia="zh-CN"/>
        </w:rPr>
        <w:t>3</w:t>
      </w:r>
      <w:r>
        <w:rPr>
          <w:rFonts w:hint="eastAsia" w:ascii="黑体" w:hAnsi="宋体" w:eastAsia="黑体" w:cs="黑体"/>
          <w:i w:val="0"/>
          <w:iCs w:val="0"/>
          <w:caps w:val="0"/>
          <w:color w:val="000000"/>
          <w:spacing w:val="-20"/>
          <w:sz w:val="72"/>
          <w:szCs w:val="72"/>
          <w:highlight w:val="none"/>
          <w:shd w:val="clear" w:fill="FFFFFF"/>
        </w:rPr>
        <w:t>年</w:t>
      </w:r>
      <w:r>
        <w:rPr>
          <w:rFonts w:hint="eastAsia" w:ascii="黑体" w:hAnsi="宋体" w:eastAsia="黑体" w:cs="黑体"/>
          <w:i w:val="0"/>
          <w:iCs w:val="0"/>
          <w:caps w:val="0"/>
          <w:color w:val="000000"/>
          <w:spacing w:val="-20"/>
          <w:sz w:val="72"/>
          <w:szCs w:val="72"/>
          <w:highlight w:val="none"/>
          <w:shd w:val="clear" w:fill="FFFFFF"/>
          <w:lang w:val="en-US" w:eastAsia="zh-CN"/>
        </w:rPr>
        <w:t>度</w:t>
      </w:r>
      <w:r>
        <w:rPr>
          <w:rFonts w:hint="eastAsia" w:ascii="黑体" w:hAnsi="宋体" w:eastAsia="黑体" w:cs="黑体"/>
          <w:i w:val="0"/>
          <w:iCs w:val="0"/>
          <w:caps w:val="0"/>
          <w:color w:val="000000"/>
          <w:spacing w:val="-20"/>
          <w:sz w:val="72"/>
          <w:szCs w:val="72"/>
          <w:highlight w:val="none"/>
          <w:shd w:val="clear" w:fill="FFFFFF"/>
        </w:rPr>
        <w:t>部门决算情况说明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t> </w:t>
      </w:r>
    </w:p>
    <w:p>
      <w:pP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黑体" w:hAnsi="Calibri" w:eastAsia="黑体" w:cs="Times New Roman"/>
          <w:kern w:val="2"/>
          <w:sz w:val="32"/>
          <w:szCs w:val="32"/>
          <w:lang w:val="en-US" w:eastAsia="zh-CN" w:bidi="ar-SA"/>
        </w:rPr>
      </w:pPr>
      <w:r>
        <w:rPr>
          <w:rFonts w:hint="eastAsia" w:ascii="黑体" w:hAnsi="Calibri" w:eastAsia="黑体" w:cs="Times New Roman"/>
          <w:kern w:val="2"/>
          <w:sz w:val="32"/>
          <w:szCs w:val="32"/>
          <w:lang w:val="en-US" w:eastAsia="zh-CN" w:bidi="ar-SA"/>
        </w:rPr>
        <w:t>一、收入支出决算总体情况说明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444.83</w:t>
      </w:r>
      <w:r>
        <w:rPr>
          <w:rFonts w:hint="default" w:ascii="Times New Roman" w:hAnsi="Times New Roman" w:eastAsia="仿宋_GB2312" w:cs="Times New Roman"/>
          <w:kern w:val="2"/>
          <w:sz w:val="32"/>
          <w:szCs w:val="32"/>
          <w:lang w:eastAsia="zh-CN"/>
        </w:rPr>
        <w:t>万元。与2022年度决算相比，收支各减少</w:t>
      </w:r>
      <w:r>
        <w:rPr>
          <w:rFonts w:hint="eastAsia" w:ascii="Times New Roman" w:hAnsi="Times New Roman" w:eastAsia="仿宋_GB2312" w:cs="Times New Roman"/>
          <w:kern w:val="2"/>
          <w:sz w:val="32"/>
          <w:szCs w:val="32"/>
          <w:lang w:val="en-US" w:eastAsia="zh-CN"/>
        </w:rPr>
        <w:t>65.14</w:t>
      </w:r>
      <w:r>
        <w:rPr>
          <w:rFonts w:hint="default" w:ascii="Times New Roman" w:hAnsi="Times New Roman" w:eastAsia="仿宋_GB2312" w:cs="Times New Roman"/>
          <w:kern w:val="2"/>
          <w:sz w:val="32"/>
          <w:szCs w:val="32"/>
          <w:lang w:eastAsia="zh-CN"/>
        </w:rPr>
        <w:t>万元，下降</w:t>
      </w:r>
      <w:r>
        <w:rPr>
          <w:rFonts w:hint="eastAsia" w:ascii="Times New Roman" w:hAnsi="Times New Roman" w:eastAsia="仿宋_GB2312" w:cs="Times New Roman"/>
          <w:kern w:val="2"/>
          <w:sz w:val="32"/>
          <w:szCs w:val="32"/>
          <w:lang w:val="en-US" w:eastAsia="zh-CN"/>
        </w:rPr>
        <w:t>12.77</w:t>
      </w:r>
      <w:r>
        <w:rPr>
          <w:rFonts w:hint="default" w:ascii="Times New Roman" w:hAnsi="Times New Roman" w:eastAsia="仿宋_GB2312" w:cs="Times New Roman"/>
          <w:kern w:val="2"/>
          <w:sz w:val="32"/>
          <w:szCs w:val="32"/>
          <w:lang w:eastAsia="zh-CN"/>
        </w:rPr>
        <w:t>%，主要原因是</w:t>
      </w:r>
      <w:r>
        <w:rPr>
          <w:rFonts w:hint="eastAsia" w:ascii="Times New Roman" w:hAnsi="Times New Roman" w:eastAsia="仿宋_GB2312" w:cs="Times New Roman"/>
          <w:kern w:val="2"/>
          <w:sz w:val="32"/>
          <w:szCs w:val="32"/>
          <w:lang w:val="en-US" w:eastAsia="zh-CN"/>
        </w:rPr>
        <w:t>2023年度项目减少</w:t>
      </w:r>
      <w:r>
        <w:rPr>
          <w:rFonts w:hint="default" w:ascii="Times New Roman" w:hAnsi="Times New Roman" w:eastAsia="仿宋_GB2312" w:cs="Times New Roman"/>
          <w:kern w:val="2"/>
          <w:sz w:val="32"/>
          <w:szCs w:val="32"/>
          <w:lang w:eastAsia="zh-CN"/>
        </w:rPr>
        <w:t>。</w:t>
      </w:r>
    </w:p>
    <w:p>
      <w:pPr>
        <w:shd w:val="clear" w:color="auto" w:fill="FFFFFF"/>
        <w:spacing w:before="240" w:after="240"/>
        <w:ind w:firstLine="720" w:firstLineChars="300"/>
        <w:jc w:val="center"/>
        <w:rPr>
          <w:rFonts w:hint="default" w:ascii="Times New Roman" w:hAnsi="Times New Roman" w:eastAsia="仿宋_GB2312" w:cs="Times New Roman"/>
          <w:kern w:val="2"/>
          <w:sz w:val="32"/>
          <w:szCs w:val="32"/>
          <w:lang w:eastAsia="zh-CN"/>
        </w:rPr>
      </w:pPr>
      <w:r>
        <w:drawing>
          <wp:inline distT="0" distB="0" distL="114300" distR="114300">
            <wp:extent cx="4826000" cy="2743200"/>
            <wp:effectExtent l="4445" t="4445" r="825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hd w:val="clear" w:color="auto" w:fill="FFFFFF"/>
        <w:spacing w:before="240" w:after="240"/>
        <w:ind w:firstLine="960" w:firstLineChars="300"/>
        <w:jc w:val="center"/>
        <w:rPr>
          <w:rFonts w:hint="default" w:ascii="Times New Roman" w:hAnsi="Times New Roman" w:eastAsia="Arial" w:cs="Times New Roman"/>
          <w:highlight w:val="none"/>
        </w:rPr>
      </w:pPr>
      <w:r>
        <w:rPr>
          <w:rFonts w:hint="default" w:ascii="Times New Roman" w:hAnsi="Times New Roman" w:eastAsia="仿宋_GB2312" w:cs="Times New Roman"/>
          <w:kern w:val="2"/>
          <w:sz w:val="32"/>
          <w:szCs w:val="32"/>
          <w:lang w:eastAsia="zh-CN"/>
        </w:rPr>
        <w:t>202</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eastAsia="zh-CN"/>
        </w:rPr>
        <w:t>-202</w:t>
      </w: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eastAsia="zh-CN"/>
        </w:rPr>
        <w:t>年收支总计对比情况</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单位：万元</w:t>
      </w:r>
      <w:r>
        <w:rPr>
          <w:rFonts w:hint="eastAsia" w:ascii="Times New Roman" w:hAnsi="Times New Roman" w:eastAsia="仿宋_GB2312" w:cs="Times New Roman"/>
          <w:kern w:val="2"/>
          <w:sz w:val="32"/>
          <w:szCs w:val="32"/>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二、收入决算情况说明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444.83</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，其中：财政拨款收入444.83万元，占100%；上级补助收入0万元，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0%；事业收入0万元，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0%；经营收入0万元，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0%；附属单位上缴收入0万元，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0%；其他收入0万元，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w:t>
      </w:r>
      <w:r>
        <w:rPr>
          <w:rFonts w:hint="eastAsia" w:ascii="Times New Roman" w:hAnsi="Times New Roman" w:eastAsia="仿宋_GB2312" w:cs="Times New Roman"/>
          <w:kern w:val="2"/>
          <w:sz w:val="32"/>
          <w:szCs w:val="32"/>
          <w:lang w:val="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三、支出决算情况说明</w:t>
      </w:r>
    </w:p>
    <w:p>
      <w:pPr>
        <w:autoSpaceDE w:val="0"/>
        <w:autoSpaceDN w:val="0"/>
        <w:adjustRightInd w:val="0"/>
        <w:spacing w:line="580" w:lineRule="exact"/>
        <w:ind w:firstLine="600"/>
        <w:jc w:val="left"/>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444.83万元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208.13万元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占46.79%；</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236.71万元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占53.21%；</w:t>
      </w:r>
      <w:r>
        <w:rPr>
          <w:rFonts w:hint="default" w:ascii="Times New Roman" w:hAnsi="Times New Roman" w:eastAsia="仿宋_GB2312" w:cs="Times New Roman"/>
          <w:kern w:val="2"/>
          <w:sz w:val="32"/>
          <w:szCs w:val="32"/>
          <w:lang w:val="zh-CN"/>
        </w:rPr>
        <w:t>上缴上级支出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经营支出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对附属单位补助支出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eastAsia" w:ascii="Times New Roman" w:hAnsi="Times New Roman" w:eastAsia="仿宋_GB2312" w:cs="Times New Roman"/>
          <w:kern w:val="2"/>
          <w:sz w:val="32"/>
          <w:szCs w:val="32"/>
          <w:lang w:val="zh-CN" w:eastAsia="zh-CN"/>
        </w:rPr>
        <w:t>。</w:t>
      </w:r>
    </w:p>
    <w:p>
      <w:pPr>
        <w:autoSpaceDE w:val="0"/>
        <w:autoSpaceDN w:val="0"/>
        <w:adjustRightInd w:val="0"/>
        <w:spacing w:line="580" w:lineRule="exact"/>
        <w:ind w:firstLine="600"/>
        <w:jc w:val="center"/>
        <w:rPr>
          <w:rFonts w:hint="eastAsia" w:ascii="Times New Roman" w:hAnsi="Times New Roman" w:eastAsia="仿宋_GB2312" w:cs="Times New Roman"/>
          <w:sz w:val="32"/>
          <w:szCs w:val="32"/>
          <w:lang w:eastAsia="zh-CN"/>
        </w:rPr>
      </w:pPr>
      <w:r>
        <w:drawing>
          <wp:anchor distT="0" distB="0" distL="114300" distR="114300" simplePos="0" relativeHeight="251667456" behindDoc="0" locked="0" layoutInCell="1" allowOverlap="1">
            <wp:simplePos x="0" y="0"/>
            <wp:positionH relativeFrom="column">
              <wp:posOffset>225425</wp:posOffset>
            </wp:positionH>
            <wp:positionV relativeFrom="page">
              <wp:posOffset>1730375</wp:posOffset>
            </wp:positionV>
            <wp:extent cx="4572000" cy="2743200"/>
            <wp:effectExtent l="6350" t="6350" r="12700" b="1270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default" w:ascii="Times New Roman" w:hAnsi="Times New Roman" w:eastAsia="仿宋_GB2312" w:cs="Times New Roman"/>
          <w:sz w:val="32"/>
          <w:szCs w:val="32"/>
        </w:rPr>
        <w:t>支出决算构成情况（按支出性质）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单位：万元</w:t>
      </w:r>
      <w:r>
        <w:rPr>
          <w:rFonts w:hint="eastAsia" w:ascii="Times New Roman" w:hAnsi="Times New Roman" w:eastAsia="仿宋_GB2312" w:cs="Times New Roman"/>
          <w:sz w:val="32"/>
          <w:szCs w:val="32"/>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Arial" w:cs="Times New Roman"/>
          <w:highlight w:val="none"/>
        </w:rPr>
      </w:pPr>
      <w:r>
        <w:rPr>
          <w:rFonts w:hint="default" w:ascii="Times New Roman" w:hAnsi="Times New Roman" w:eastAsia="黑体" w:cs="Times New Roman"/>
          <w:kern w:val="2"/>
          <w:sz w:val="32"/>
          <w:szCs w:val="32"/>
          <w:lang w:val="en-US" w:eastAsia="zh-CN" w:bidi="ar-SA"/>
        </w:rPr>
        <w:t>四、财政拨款收入支出决算总体情况说明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（一）财政拨款收支与2022年度决算对比情况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年度财政拨款本年收入444.83</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元,比上年减少</w:t>
      </w:r>
      <w:r>
        <w:rPr>
          <w:rFonts w:hint="eastAsia" w:ascii="Times New Roman" w:hAnsi="Times New Roman" w:eastAsia="仿宋_GB2312" w:cs="Times New Roman"/>
          <w:color w:val="auto"/>
          <w:kern w:val="2"/>
          <w:sz w:val="32"/>
          <w:szCs w:val="32"/>
          <w:lang w:val="en-US" w:eastAsia="zh-CN" w:bidi="ar-SA"/>
        </w:rPr>
        <w:t>65.14</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12.77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val="en-US" w:eastAsia="zh-CN"/>
        </w:rPr>
        <w:t>2023年度项目减少</w:t>
      </w:r>
      <w:r>
        <w:rPr>
          <w:rFonts w:hint="default" w:ascii="Times New Roman" w:hAnsi="Times New Roman" w:eastAsia="仿宋_GB2312" w:cs="Times New Roman"/>
          <w:color w:val="auto"/>
          <w:kern w:val="2"/>
          <w:sz w:val="32"/>
          <w:szCs w:val="32"/>
          <w:lang w:val="zh-CN" w:eastAsia="zh-CN" w:bidi="ar-SA"/>
        </w:rPr>
        <w:t>；本年支出 444.83</w:t>
      </w:r>
      <w:r>
        <w:rPr>
          <w:rFonts w:hint="eastAsia"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元，比上年减少</w:t>
      </w:r>
      <w:r>
        <w:rPr>
          <w:rFonts w:hint="eastAsia" w:ascii="Times New Roman" w:hAnsi="Times New Roman" w:eastAsia="仿宋_GB2312" w:cs="Times New Roman"/>
          <w:color w:val="auto"/>
          <w:kern w:val="2"/>
          <w:sz w:val="32"/>
          <w:szCs w:val="32"/>
          <w:lang w:val="en-US" w:eastAsia="zh-CN" w:bidi="ar-SA"/>
        </w:rPr>
        <w:t>65.14</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12.77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val="en-US" w:eastAsia="zh-CN"/>
        </w:rPr>
        <w:t>2023年度项目减少</w:t>
      </w:r>
      <w:r>
        <w:rPr>
          <w:rFonts w:hint="default" w:ascii="Times New Roman" w:hAnsi="Times New Roman" w:eastAsia="仿宋_GB2312" w:cs="Times New Roman"/>
          <w:color w:val="auto"/>
          <w:kern w:val="2"/>
          <w:sz w:val="32"/>
          <w:szCs w:val="32"/>
          <w:lang w:val="zh-CN" w:eastAsia="zh-CN" w:bidi="ar-SA"/>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1. 一般公共预算财政拨款本年收入246.72</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,比上年减少</w:t>
      </w:r>
      <w:r>
        <w:rPr>
          <w:rFonts w:hint="eastAsia" w:ascii="Times New Roman" w:hAnsi="Times New Roman" w:eastAsia="仿宋_GB2312" w:cs="Times New Roman"/>
          <w:kern w:val="2"/>
          <w:sz w:val="32"/>
          <w:szCs w:val="32"/>
          <w:lang w:val="en-US" w:eastAsia="zh-CN"/>
        </w:rPr>
        <w:t>17.02</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en-US" w:eastAsia="zh-CN"/>
        </w:rPr>
        <w:t>人员经费较少</w:t>
      </w:r>
      <w:r>
        <w:rPr>
          <w:rFonts w:hint="default" w:ascii="Times New Roman" w:hAnsi="Times New Roman" w:eastAsia="仿宋_GB2312" w:cs="Times New Roman"/>
          <w:kern w:val="2"/>
          <w:sz w:val="32"/>
          <w:szCs w:val="32"/>
          <w:lang w:val="zh-CN"/>
        </w:rPr>
        <w:t>；本年支出 246.72</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17.02</w:t>
      </w:r>
      <w:r>
        <w:rPr>
          <w:rFonts w:hint="default"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6.45</w:t>
      </w:r>
      <w:r>
        <w:rPr>
          <w:rFonts w:hint="default" w:ascii="Times New Roman" w:hAnsi="Times New Roman" w:eastAsia="仿宋_GB2312" w:cs="Times New Roman"/>
          <w:kern w:val="2"/>
          <w:sz w:val="32"/>
          <w:szCs w:val="32"/>
          <w:lang w:val="zh-CN"/>
        </w:rPr>
        <w:t>%，主要是</w:t>
      </w:r>
      <w:r>
        <w:rPr>
          <w:rFonts w:hint="eastAsia" w:ascii="仿宋_GB2312" w:hAnsi="仿宋" w:eastAsia="仿宋_GB2312"/>
          <w:sz w:val="32"/>
          <w:szCs w:val="32"/>
        </w:rPr>
        <w:t>人员经费预留未使用</w:t>
      </w:r>
      <w:r>
        <w:rPr>
          <w:rFonts w:hint="default"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2. 政府性基金预算财政拨款本年收入198.11</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48.11</w:t>
      </w:r>
      <w:r>
        <w:rPr>
          <w:rFonts w:hint="default"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19.54</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en-US" w:eastAsia="zh-CN"/>
        </w:rPr>
        <w:t>2023年度项目较少</w:t>
      </w:r>
      <w:r>
        <w:rPr>
          <w:rFonts w:hint="default" w:ascii="Times New Roman" w:hAnsi="Times New Roman" w:eastAsia="仿宋_GB2312" w:cs="Times New Roman"/>
          <w:kern w:val="2"/>
          <w:sz w:val="32"/>
          <w:szCs w:val="32"/>
          <w:lang w:val="zh-CN"/>
        </w:rPr>
        <w:t>；本年支出 198.11</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48.11</w:t>
      </w:r>
      <w:r>
        <w:rPr>
          <w:rFonts w:hint="default"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19.54</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en-US" w:eastAsia="zh-CN"/>
        </w:rPr>
        <w:t>2023年度项目较少</w:t>
      </w:r>
      <w:r>
        <w:rPr>
          <w:rFonts w:hint="default"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ascii="仿宋_GB2312" w:hAnsi="仿宋_GB2312" w:eastAsia="仿宋_GB2312" w:cs="仿宋_GB2312"/>
          <w:sz w:val="33"/>
          <w:szCs w:val="33"/>
        </w:rPr>
      </w:pPr>
      <w:r>
        <w:rPr>
          <w:rFonts w:hint="default" w:ascii="Times New Roman" w:hAnsi="Times New Roman" w:eastAsia="仿宋_GB2312" w:cs="Times New Roman"/>
          <w:kern w:val="2"/>
          <w:sz w:val="32"/>
          <w:szCs w:val="32"/>
          <w:lang w:val="zh-CN"/>
        </w:rPr>
        <w:t>3. 国有资本经营预算财政拨款本年收入0</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w:t>
      </w:r>
      <w:r>
        <w:rPr>
          <w:rFonts w:hint="eastAsia" w:ascii="仿宋_GB2312" w:hAnsi="仿宋_GB2312" w:eastAsia="仿宋_GB2312" w:cs="仿宋_GB2312"/>
          <w:sz w:val="33"/>
          <w:szCs w:val="33"/>
        </w:rPr>
        <w:t>与202</w:t>
      </w:r>
      <w:r>
        <w:rPr>
          <w:rFonts w:hint="eastAsia" w:ascii="仿宋_GB2312" w:hAnsi="仿宋_GB2312" w:eastAsia="仿宋_GB2312" w:cs="仿宋_GB2312"/>
          <w:sz w:val="33"/>
          <w:szCs w:val="33"/>
          <w:lang w:val="en-US" w:eastAsia="zh-CN"/>
        </w:rPr>
        <w:t>2</w:t>
      </w:r>
      <w:r>
        <w:rPr>
          <w:rFonts w:hint="eastAsia" w:ascii="仿宋_GB2312" w:hAnsi="仿宋_GB2312" w:eastAsia="仿宋_GB2312" w:cs="仿宋_GB2312"/>
          <w:sz w:val="33"/>
          <w:szCs w:val="33"/>
        </w:rPr>
        <w:t>年度决算收入</w:t>
      </w:r>
      <w:r>
        <w:rPr>
          <w:rFonts w:ascii="仿宋_GB2312" w:hAnsi="仿宋_GB2312" w:eastAsia="仿宋_GB2312" w:cs="仿宋_GB2312"/>
          <w:sz w:val="33"/>
          <w:szCs w:val="33"/>
        </w:rPr>
        <w:t>持平，主要原因是</w:t>
      </w:r>
      <w:r>
        <w:rPr>
          <w:rFonts w:hint="eastAsia" w:ascii="仿宋_GB2312" w:hAnsi="仿宋_GB2312" w:eastAsia="仿宋_GB2312" w:cs="仿宋_GB2312"/>
          <w:sz w:val="33"/>
          <w:szCs w:val="33"/>
        </w:rPr>
        <w:t>无此项预算</w:t>
      </w:r>
      <w:r>
        <w:rPr>
          <w:rFonts w:ascii="仿宋_GB2312" w:hAnsi="仿宋_GB2312" w:eastAsia="仿宋_GB2312" w:cs="仿宋_GB2312"/>
          <w:sz w:val="33"/>
          <w:szCs w:val="33"/>
        </w:rPr>
        <w:t>；本年支出0.00万元，</w:t>
      </w:r>
      <w:r>
        <w:rPr>
          <w:rFonts w:hint="eastAsia" w:ascii="仿宋_GB2312" w:hAnsi="仿宋_GB2312" w:eastAsia="仿宋_GB2312" w:cs="仿宋_GB2312"/>
          <w:sz w:val="33"/>
          <w:szCs w:val="33"/>
        </w:rPr>
        <w:t>与202</w:t>
      </w:r>
      <w:r>
        <w:rPr>
          <w:rFonts w:hint="eastAsia" w:ascii="仿宋_GB2312" w:hAnsi="仿宋_GB2312" w:eastAsia="仿宋_GB2312" w:cs="仿宋_GB2312"/>
          <w:sz w:val="33"/>
          <w:szCs w:val="33"/>
          <w:lang w:val="en-US" w:eastAsia="zh-CN"/>
        </w:rPr>
        <w:t>2</w:t>
      </w:r>
      <w:r>
        <w:rPr>
          <w:rFonts w:hint="eastAsia" w:ascii="仿宋_GB2312" w:hAnsi="仿宋_GB2312" w:eastAsia="仿宋_GB2312" w:cs="仿宋_GB2312"/>
          <w:sz w:val="33"/>
          <w:szCs w:val="33"/>
        </w:rPr>
        <w:t>年度决算支出</w:t>
      </w:r>
      <w:r>
        <w:rPr>
          <w:rFonts w:ascii="仿宋_GB2312" w:hAnsi="仿宋_GB2312" w:eastAsia="仿宋_GB2312" w:cs="仿宋_GB2312"/>
          <w:sz w:val="33"/>
          <w:szCs w:val="33"/>
        </w:rPr>
        <w:t>持平</w:t>
      </w:r>
      <w:r>
        <w:rPr>
          <w:rFonts w:hint="eastAsia" w:ascii="仿宋_GB2312" w:hAnsi="仿宋_GB2312" w:eastAsia="仿宋_GB2312" w:cs="仿宋_GB2312"/>
          <w:sz w:val="33"/>
          <w:szCs w:val="33"/>
        </w:rPr>
        <w:t>，</w:t>
      </w:r>
      <w:r>
        <w:rPr>
          <w:rFonts w:ascii="仿宋_GB2312" w:hAnsi="仿宋_GB2312" w:eastAsia="仿宋_GB2312" w:cs="仿宋_GB2312"/>
          <w:sz w:val="33"/>
          <w:szCs w:val="33"/>
        </w:rPr>
        <w:t>主要是</w:t>
      </w:r>
      <w:r>
        <w:rPr>
          <w:rFonts w:hint="eastAsia" w:ascii="仿宋_GB2312" w:hAnsi="仿宋_GB2312" w:eastAsia="仿宋_GB2312" w:cs="仿宋_GB2312"/>
          <w:sz w:val="33"/>
          <w:szCs w:val="33"/>
        </w:rPr>
        <w:t>无此项预算</w:t>
      </w:r>
      <w:r>
        <w:rPr>
          <w:rFonts w:ascii="仿宋_GB2312" w:hAnsi="仿宋_GB2312" w:eastAsia="仿宋_GB2312" w:cs="仿宋_GB2312"/>
          <w:sz w:val="33"/>
          <w:szCs w:val="33"/>
        </w:rPr>
        <w:t>。</w:t>
      </w:r>
    </w:p>
    <w:p>
      <w:pPr>
        <w:shd w:val="clear" w:color="auto" w:fill="FFFFFF"/>
        <w:spacing w:before="240" w:after="240"/>
        <w:ind w:firstLine="480" w:firstLineChars="200"/>
        <w:jc w:val="both"/>
      </w:pPr>
      <w:r>
        <w:drawing>
          <wp:inline distT="0" distB="0" distL="114300" distR="114300">
            <wp:extent cx="5273040" cy="2875915"/>
            <wp:effectExtent l="6350" t="6350" r="16510" b="1333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hd w:val="clear" w:color="auto" w:fill="FFFFFF"/>
        <w:spacing w:before="240" w:after="240"/>
        <w:ind w:firstLine="480" w:firstLineChars="200"/>
        <w:jc w:val="center"/>
        <w:rPr>
          <w:rFonts w:hint="eastAsia" w:eastAsiaTheme="minorEastAsia"/>
          <w:lang w:eastAsia="zh-CN"/>
        </w:rPr>
      </w:pPr>
      <w:r>
        <w:rPr>
          <w:rFonts w:hint="eastAsia"/>
        </w:rPr>
        <w:t>202</w:t>
      </w:r>
      <w:r>
        <w:rPr>
          <w:rFonts w:hint="eastAsia"/>
          <w:lang w:val="en-US" w:eastAsia="zh-CN"/>
        </w:rPr>
        <w:t>2</w:t>
      </w:r>
      <w:r>
        <w:rPr>
          <w:rFonts w:hint="eastAsia"/>
        </w:rPr>
        <w:t>-202</w:t>
      </w:r>
      <w:r>
        <w:rPr>
          <w:rFonts w:hint="eastAsia"/>
          <w:lang w:val="en-US" w:eastAsia="zh-CN"/>
        </w:rPr>
        <w:t>3</w:t>
      </w:r>
      <w:r>
        <w:rPr>
          <w:rFonts w:hint="eastAsia"/>
        </w:rPr>
        <w:t>年财政拨款收支情况（单位：万元</w:t>
      </w:r>
      <w:r>
        <w:rPr>
          <w:rFonts w:hint="eastAsia"/>
          <w:lang w:eastAsia="zh-CN"/>
        </w:rPr>
        <w:t>）</w:t>
      </w:r>
    </w:p>
    <w:p>
      <w:pPr>
        <w:shd w:val="clear" w:color="auto" w:fill="FFFFFF"/>
        <w:spacing w:before="240" w:after="240"/>
        <w:ind w:firstLine="643" w:firstLineChars="200"/>
        <w:jc w:val="both"/>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（二）财政拨款收支与年初预算数对比情况</w:t>
      </w:r>
    </w:p>
    <w:p>
      <w:pPr>
        <w:shd w:val="clear" w:color="auto" w:fill="FFFFFF"/>
        <w:spacing w:before="240" w:after="240"/>
        <w:ind w:firstLine="640" w:firstLineChars="200"/>
        <w:jc w:val="both"/>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年度财政拨款本年收入444.83万元，完成年初预算的84.4</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%，比年初预算减少</w:t>
      </w:r>
      <w:r>
        <w:rPr>
          <w:rFonts w:hint="eastAsia" w:ascii="Times New Roman" w:hAnsi="Times New Roman" w:eastAsia="仿宋_GB2312" w:cs="Times New Roman"/>
          <w:color w:val="auto"/>
          <w:kern w:val="2"/>
          <w:sz w:val="32"/>
          <w:szCs w:val="32"/>
          <w:lang w:val="en-US" w:eastAsia="zh-CN" w:bidi="ar-SA"/>
        </w:rPr>
        <w:t>82.24</w:t>
      </w:r>
      <w:r>
        <w:rPr>
          <w:rFonts w:hint="default" w:ascii="Times New Roman" w:hAnsi="Times New Roman" w:eastAsia="仿宋_GB2312" w:cs="Times New Roman"/>
          <w:color w:val="auto"/>
          <w:kern w:val="2"/>
          <w:sz w:val="32"/>
          <w:szCs w:val="32"/>
          <w:lang w:val="zh-CN" w:eastAsia="zh-CN" w:bidi="ar-SA"/>
        </w:rPr>
        <w:t>万元，决算数小于预算数主要原因是</w:t>
      </w:r>
      <w:r>
        <w:rPr>
          <w:rFonts w:hint="eastAsia" w:ascii="Times New Roman" w:hAnsi="Times New Roman" w:eastAsia="仿宋_GB2312" w:cs="Times New Roman"/>
          <w:color w:val="auto"/>
          <w:kern w:val="2"/>
          <w:sz w:val="32"/>
          <w:szCs w:val="32"/>
          <w:lang w:val="en-US" w:eastAsia="zh-CN" w:bidi="ar-SA"/>
        </w:rPr>
        <w:t>项目支出减少</w:t>
      </w:r>
      <w:r>
        <w:rPr>
          <w:rFonts w:hint="default" w:ascii="Times New Roman" w:hAnsi="Times New Roman" w:eastAsia="仿宋_GB2312" w:cs="Times New Roman"/>
          <w:color w:val="auto"/>
          <w:kern w:val="2"/>
          <w:sz w:val="32"/>
          <w:szCs w:val="32"/>
          <w:lang w:val="zh-CN" w:eastAsia="zh-CN" w:bidi="ar-SA"/>
        </w:rPr>
        <w:t>；本年支出444.83万元，完成年初预算的84.4</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%，比年初预算减少</w:t>
      </w:r>
      <w:r>
        <w:rPr>
          <w:rFonts w:hint="eastAsia" w:ascii="Times New Roman" w:hAnsi="Times New Roman" w:eastAsia="仿宋_GB2312" w:cs="Times New Roman"/>
          <w:color w:val="auto"/>
          <w:kern w:val="2"/>
          <w:sz w:val="32"/>
          <w:szCs w:val="32"/>
          <w:lang w:val="en-US" w:eastAsia="zh-CN" w:bidi="ar-SA"/>
        </w:rPr>
        <w:t>82.24</w:t>
      </w:r>
      <w:r>
        <w:rPr>
          <w:rFonts w:hint="default" w:ascii="Times New Roman" w:hAnsi="Times New Roman" w:eastAsia="仿宋_GB2312" w:cs="Times New Roman"/>
          <w:color w:val="auto"/>
          <w:kern w:val="2"/>
          <w:sz w:val="32"/>
          <w:szCs w:val="32"/>
          <w:lang w:val="zh-CN" w:eastAsia="zh-CN" w:bidi="ar-SA"/>
        </w:rPr>
        <w:t>万元，决算数小于</w:t>
      </w:r>
      <w:r>
        <w:rPr>
          <w:rFonts w:hint="default" w:ascii="Times New Roman" w:hAnsi="Times New Roman" w:eastAsia="仿宋_GB2312" w:cs="Times New Roman"/>
          <w:kern w:val="2"/>
          <w:sz w:val="32"/>
          <w:szCs w:val="32"/>
          <w:lang w:val="zh-CN"/>
        </w:rPr>
        <w:t>预算数主要原因是</w:t>
      </w:r>
      <w:r>
        <w:rPr>
          <w:rFonts w:hint="eastAsia" w:ascii="Times New Roman" w:hAnsi="Times New Roman" w:eastAsia="仿宋_GB2312" w:cs="Times New Roman"/>
          <w:color w:val="auto"/>
          <w:kern w:val="2"/>
          <w:sz w:val="32"/>
          <w:szCs w:val="32"/>
          <w:lang w:val="en-US" w:eastAsia="zh-CN" w:bidi="ar-SA"/>
        </w:rPr>
        <w:t>项目支出减少</w:t>
      </w:r>
      <w:r>
        <w:rPr>
          <w:rFonts w:hint="default" w:ascii="Times New Roman" w:hAnsi="Times New Roman" w:eastAsia="仿宋_GB2312" w:cs="Times New Roman"/>
          <w:kern w:val="2"/>
          <w:sz w:val="32"/>
          <w:szCs w:val="32"/>
          <w:lang w:val="zh-CN"/>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收入246.72万元，完成年初预算的 85.95%，比年初预算减少</w:t>
      </w:r>
      <w:r>
        <w:rPr>
          <w:rFonts w:hint="eastAsia" w:ascii="Times New Roman" w:hAnsi="Times New Roman" w:eastAsia="仿宋_GB2312" w:cs="Times New Roman"/>
          <w:kern w:val="2"/>
          <w:sz w:val="32"/>
          <w:szCs w:val="32"/>
          <w:lang w:val="en-US" w:eastAsia="zh-CN"/>
        </w:rPr>
        <w:t>40.35</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人员经费预留未使用</w:t>
      </w:r>
      <w:r>
        <w:rPr>
          <w:rFonts w:hint="default" w:ascii="Times New Roman" w:hAnsi="Times New Roman" w:eastAsia="仿宋_GB2312" w:cs="Times New Roman"/>
          <w:kern w:val="2"/>
          <w:sz w:val="32"/>
          <w:szCs w:val="32"/>
          <w:lang w:val="zh-CN"/>
        </w:rPr>
        <w:t>；本年支出246.72万元，完成年初预算的85.95%，比年初预算减少</w:t>
      </w:r>
      <w:r>
        <w:rPr>
          <w:rFonts w:hint="eastAsia" w:ascii="Times New Roman" w:hAnsi="Times New Roman" w:eastAsia="仿宋_GB2312" w:cs="Times New Roman"/>
          <w:kern w:val="2"/>
          <w:sz w:val="32"/>
          <w:szCs w:val="32"/>
          <w:lang w:val="en-US" w:eastAsia="zh-CN"/>
        </w:rPr>
        <w:t>40.35</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人员经费预留未使用</w:t>
      </w:r>
      <w:r>
        <w:rPr>
          <w:rFonts w:hint="default" w:ascii="Times New Roman" w:hAnsi="Times New Roman" w:eastAsia="仿宋_GB2312" w:cs="Times New Roman"/>
          <w:kern w:val="2"/>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2. 政府性基金预算财政拨款本年收入198.11万元，完成年初预算的82.55%，比年初预算减少</w:t>
      </w:r>
      <w:r>
        <w:rPr>
          <w:rFonts w:hint="eastAsia" w:ascii="Times New Roman" w:hAnsi="Times New Roman" w:eastAsia="仿宋_GB2312" w:cs="Times New Roman"/>
          <w:kern w:val="2"/>
          <w:sz w:val="32"/>
          <w:szCs w:val="32"/>
          <w:lang w:val="en-US" w:eastAsia="zh-CN"/>
        </w:rPr>
        <w:t>41.89</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en-US" w:eastAsia="zh-CN"/>
        </w:rPr>
        <w:t>项目支出减少</w:t>
      </w:r>
      <w:r>
        <w:rPr>
          <w:rFonts w:hint="default" w:ascii="Times New Roman" w:hAnsi="Times New Roman" w:eastAsia="仿宋_GB2312" w:cs="Times New Roman"/>
          <w:kern w:val="2"/>
          <w:sz w:val="32"/>
          <w:szCs w:val="32"/>
          <w:lang w:val="zh-CN"/>
        </w:rPr>
        <w:t>；本年支出198.11万元，完成年初预算的82.55%，比年初预算减少</w:t>
      </w:r>
      <w:r>
        <w:rPr>
          <w:rFonts w:hint="eastAsia" w:ascii="Times New Roman" w:hAnsi="Times New Roman" w:eastAsia="仿宋_GB2312" w:cs="Times New Roman"/>
          <w:kern w:val="2"/>
          <w:sz w:val="32"/>
          <w:szCs w:val="32"/>
          <w:lang w:val="en-US" w:eastAsia="zh-CN"/>
        </w:rPr>
        <w:t>41.89</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en-US" w:eastAsia="zh-CN"/>
        </w:rPr>
        <w:t>项目支出减少</w:t>
      </w:r>
      <w:r>
        <w:rPr>
          <w:rFonts w:hint="default"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3. 国有资本经营预算财政拨款本年收入0万元，完成年初预算的0%，</w:t>
      </w:r>
      <w:r>
        <w:rPr>
          <w:rFonts w:hint="eastAsia" w:ascii="Times New Roman" w:hAnsi="Times New Roman" w:eastAsia="仿宋_GB2312" w:cs="Times New Roman"/>
          <w:kern w:val="2"/>
          <w:sz w:val="32"/>
          <w:szCs w:val="32"/>
          <w:lang w:val="en-US" w:eastAsia="zh-CN"/>
        </w:rPr>
        <w:t>与</w:t>
      </w:r>
      <w:r>
        <w:rPr>
          <w:rFonts w:hint="default" w:ascii="Times New Roman" w:hAnsi="Times New Roman" w:eastAsia="仿宋_GB2312" w:cs="Times New Roman"/>
          <w:kern w:val="2"/>
          <w:sz w:val="32"/>
          <w:szCs w:val="32"/>
          <w:lang w:val="zh-CN"/>
        </w:rPr>
        <w:t>年初预算</w:t>
      </w:r>
      <w:r>
        <w:rPr>
          <w:rFonts w:hint="eastAsia" w:ascii="Times New Roman" w:hAnsi="Times New Roman" w:eastAsia="仿宋_GB2312" w:cs="Times New Roman"/>
          <w:kern w:val="2"/>
          <w:sz w:val="32"/>
          <w:szCs w:val="32"/>
          <w:lang w:val="en-US" w:eastAsia="zh-CN"/>
        </w:rPr>
        <w:t>持平</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en-US" w:eastAsia="zh-CN"/>
        </w:rPr>
        <w:t>无此项预算</w:t>
      </w:r>
      <w:r>
        <w:rPr>
          <w:rFonts w:hint="default" w:ascii="Times New Roman" w:hAnsi="Times New Roman" w:eastAsia="仿宋_GB2312" w:cs="Times New Roman"/>
          <w:kern w:val="2"/>
          <w:sz w:val="32"/>
          <w:szCs w:val="32"/>
          <w:lang w:val="zh-CN"/>
        </w:rPr>
        <w:t>；本年支出0万元，完成年初预算的0%，比年初预算</w:t>
      </w:r>
      <w:r>
        <w:rPr>
          <w:rFonts w:hint="eastAsia" w:ascii="Times New Roman" w:hAnsi="Times New Roman" w:eastAsia="仿宋_GB2312" w:cs="Times New Roman"/>
          <w:kern w:val="2"/>
          <w:sz w:val="32"/>
          <w:szCs w:val="32"/>
          <w:lang w:val="en-US" w:eastAsia="zh-CN"/>
        </w:rPr>
        <w:t>持平</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en-US" w:eastAsia="zh-CN"/>
        </w:rPr>
        <w:t>无此项预算</w:t>
      </w:r>
      <w:r>
        <w:rPr>
          <w:rFonts w:hint="default" w:ascii="Times New Roman" w:hAnsi="Times New Roman" w:eastAsia="仿宋_GB2312" w:cs="Times New Roman"/>
          <w:kern w:val="2"/>
          <w:sz w:val="32"/>
          <w:szCs w:val="32"/>
          <w:lang w:val="zh-CN"/>
        </w:rPr>
        <w:t>。</w:t>
      </w:r>
    </w:p>
    <w:p>
      <w:pPr>
        <w:autoSpaceDE w:val="0"/>
        <w:autoSpaceDN w:val="0"/>
        <w:adjustRightInd w:val="0"/>
        <w:spacing w:line="580" w:lineRule="exact"/>
        <w:ind w:firstLine="480" w:firstLineChars="200"/>
        <w:jc w:val="center"/>
        <w:rPr>
          <w:rFonts w:hint="default" w:ascii="Times New Roman" w:hAnsi="Times New Roman" w:eastAsia="仿宋_GB2312" w:cs="Times New Roman"/>
          <w:kern w:val="2"/>
          <w:sz w:val="32"/>
          <w:szCs w:val="32"/>
          <w:lang w:val="zh-CN"/>
        </w:rPr>
      </w:pPr>
      <w:r>
        <w:drawing>
          <wp:anchor distT="0" distB="0" distL="114300" distR="114300" simplePos="0" relativeHeight="251668480" behindDoc="0" locked="0" layoutInCell="1" allowOverlap="1">
            <wp:simplePos x="0" y="0"/>
            <wp:positionH relativeFrom="column">
              <wp:posOffset>282575</wp:posOffset>
            </wp:positionH>
            <wp:positionV relativeFrom="page">
              <wp:posOffset>5927090</wp:posOffset>
            </wp:positionV>
            <wp:extent cx="5269230" cy="2567940"/>
            <wp:effectExtent l="6350" t="6350" r="20320" b="16510"/>
            <wp:wrapTopAndBottom/>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default" w:ascii="Times New Roman" w:hAnsi="Times New Roman" w:eastAsia="仿宋_GB2312" w:cs="Times New Roman"/>
          <w:kern w:val="2"/>
          <w:sz w:val="32"/>
          <w:szCs w:val="32"/>
          <w:lang w:val="zh-CN"/>
        </w:rPr>
        <w:t>财政拨款收支预决算对比情况（单位：万元）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（三）财政拨款支出决算结构情况</w:t>
      </w:r>
    </w:p>
    <w:p>
      <w:pPr>
        <w:keepNext w:val="0"/>
        <w:keepLines w:val="0"/>
        <w:pageBreakBefore w:val="0"/>
        <w:kinsoku/>
        <w:wordWrap/>
        <w:overflowPunct/>
        <w:topLinePunct w:val="0"/>
        <w:autoSpaceDE/>
        <w:autoSpaceDN/>
        <w:bidi w:val="0"/>
        <w:adjustRightInd w:val="0"/>
        <w:snapToGrid w:val="0"/>
        <w:spacing w:line="580" w:lineRule="exact"/>
        <w:ind w:firstLine="66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i w:val="0"/>
          <w:iCs w:val="0"/>
          <w:caps w:val="0"/>
          <w:color w:val="000000"/>
          <w:spacing w:val="0"/>
          <w:sz w:val="33"/>
          <w:szCs w:val="33"/>
          <w:highlight w:val="none"/>
          <w:shd w:val="clear" w:fill="FFFFFF"/>
        </w:rPr>
        <w:t> </w:t>
      </w:r>
      <w:r>
        <w:rPr>
          <w:rFonts w:hint="default" w:ascii="Times New Roman" w:hAnsi="Times New Roman" w:eastAsia="仿宋_GB2312" w:cs="Times New Roman"/>
          <w:kern w:val="2"/>
          <w:sz w:val="32"/>
          <w:szCs w:val="32"/>
          <w:lang w:val="zh-CN"/>
        </w:rPr>
        <w:t> 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年度财政拨款支出444.83万元，主要用于以下方面：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社会保障和就业 （类）支出44.72万元，占10.05%</w:t>
      </w:r>
      <w:r>
        <w:rPr>
          <w:rFonts w:hint="eastAsia" w:ascii="Times New Roman" w:hAnsi="Times New Roman" w:eastAsia="仿宋_GB2312" w:cs="Times New Roman"/>
          <w:color w:val="auto"/>
          <w:kern w:val="2"/>
          <w:sz w:val="32"/>
          <w:szCs w:val="32"/>
          <w:lang w:val="zh-CN" w:eastAsia="zh-CN" w:bidi="ar-SA"/>
        </w:rPr>
        <w:t>，</w:t>
      </w:r>
      <w:r>
        <w:rPr>
          <w:rFonts w:ascii="仿宋_GB2312" w:hAnsi="仿宋_GB2312" w:eastAsia="仿宋_GB2312" w:cs="仿宋_GB2312"/>
          <w:sz w:val="33"/>
          <w:szCs w:val="33"/>
        </w:rPr>
        <w:t>主要是</w:t>
      </w:r>
      <w:r>
        <w:rPr>
          <w:rFonts w:hint="eastAsia" w:ascii="仿宋_GB2312" w:hAnsi="仿宋_GB2312" w:eastAsia="仿宋_GB2312" w:cs="仿宋_GB2312"/>
          <w:sz w:val="33"/>
          <w:szCs w:val="33"/>
        </w:rPr>
        <w:t>在职职工养老保险、退休人员津补贴</w:t>
      </w:r>
      <w:r>
        <w:rPr>
          <w:rFonts w:hint="default" w:ascii="Times New Roman" w:hAnsi="Times New Roman" w:eastAsia="仿宋_GB2312" w:cs="Times New Roman"/>
          <w:color w:val="auto"/>
          <w:kern w:val="2"/>
          <w:sz w:val="32"/>
          <w:szCs w:val="32"/>
          <w:lang w:val="zh-CN" w:eastAsia="zh-CN" w:bidi="ar-SA"/>
        </w:rPr>
        <w:t>；卫生健康（类）支出6.66万元，占1.5%</w:t>
      </w:r>
      <w:r>
        <w:rPr>
          <w:rFonts w:hint="eastAsia" w:ascii="Times New Roman" w:hAnsi="Times New Roman" w:eastAsia="仿宋_GB2312" w:cs="Times New Roman"/>
          <w:color w:val="auto"/>
          <w:kern w:val="2"/>
          <w:sz w:val="32"/>
          <w:szCs w:val="32"/>
          <w:lang w:val="zh-CN" w:eastAsia="zh-CN" w:bidi="ar-SA"/>
        </w:rPr>
        <w:t>，</w:t>
      </w:r>
      <w:r>
        <w:rPr>
          <w:rFonts w:ascii="仿宋_GB2312" w:hAnsi="仿宋_GB2312" w:eastAsia="仿宋_GB2312" w:cs="仿宋_GB2312"/>
          <w:sz w:val="33"/>
          <w:szCs w:val="33"/>
        </w:rPr>
        <w:t>主要是</w:t>
      </w:r>
      <w:r>
        <w:rPr>
          <w:rFonts w:hint="eastAsia" w:ascii="仿宋_GB2312" w:hAnsi="仿宋_GB2312" w:eastAsia="仿宋_GB2312" w:cs="仿宋_GB2312"/>
          <w:sz w:val="33"/>
          <w:szCs w:val="33"/>
        </w:rPr>
        <w:t>在职职工医疗保险</w:t>
      </w:r>
      <w:r>
        <w:rPr>
          <w:rFonts w:hint="default" w:ascii="Times New Roman" w:hAnsi="Times New Roman" w:eastAsia="仿宋_GB2312" w:cs="Times New Roman"/>
          <w:color w:val="auto"/>
          <w:kern w:val="2"/>
          <w:sz w:val="32"/>
          <w:szCs w:val="32"/>
          <w:lang w:val="zh-CN" w:eastAsia="zh-CN" w:bidi="ar-SA"/>
        </w:rPr>
        <w:t>；城乡社区（类）支出379.12万元，占85.23%</w:t>
      </w:r>
      <w:r>
        <w:rPr>
          <w:rFonts w:hint="eastAsia" w:ascii="Times New Roman" w:hAnsi="Times New Roman" w:eastAsia="仿宋_GB2312" w:cs="Times New Roman"/>
          <w:color w:val="auto"/>
          <w:kern w:val="2"/>
          <w:sz w:val="32"/>
          <w:szCs w:val="32"/>
          <w:lang w:val="zh-CN" w:eastAsia="zh-CN" w:bidi="ar-SA"/>
        </w:rPr>
        <w:t>，</w:t>
      </w:r>
      <w:r>
        <w:rPr>
          <w:rFonts w:ascii="仿宋_GB2312" w:hAnsi="仿宋_GB2312" w:eastAsia="仿宋_GB2312" w:cs="仿宋_GB2312"/>
          <w:sz w:val="33"/>
          <w:szCs w:val="33"/>
        </w:rPr>
        <w:t>主要是</w:t>
      </w:r>
      <w:r>
        <w:rPr>
          <w:rFonts w:hint="eastAsia" w:ascii="仿宋_GB2312" w:hAnsi="仿宋_GB2312" w:eastAsia="仿宋_GB2312" w:cs="仿宋_GB2312"/>
          <w:sz w:val="33"/>
          <w:szCs w:val="33"/>
        </w:rPr>
        <w:t>在职职工人员经费、公用经费、广场</w:t>
      </w:r>
      <w:r>
        <w:rPr>
          <w:rFonts w:hint="eastAsia" w:ascii="仿宋_GB2312" w:hAnsi="仿宋_GB2312" w:eastAsia="仿宋_GB2312" w:cs="仿宋_GB2312"/>
          <w:sz w:val="33"/>
          <w:szCs w:val="33"/>
          <w:lang w:val="en-US" w:eastAsia="zh-CN"/>
        </w:rPr>
        <w:t>城市</w:t>
      </w:r>
      <w:r>
        <w:rPr>
          <w:rFonts w:hint="eastAsia" w:ascii="仿宋_GB2312" w:hAnsi="仿宋_GB2312" w:eastAsia="仿宋_GB2312" w:cs="仿宋_GB2312"/>
          <w:sz w:val="33"/>
          <w:szCs w:val="33"/>
        </w:rPr>
        <w:t>维护费</w:t>
      </w:r>
      <w:r>
        <w:rPr>
          <w:rFonts w:hint="default" w:ascii="Times New Roman" w:hAnsi="Times New Roman" w:eastAsia="仿宋_GB2312" w:cs="Times New Roman"/>
          <w:color w:val="auto"/>
          <w:kern w:val="2"/>
          <w:sz w:val="32"/>
          <w:szCs w:val="32"/>
          <w:lang w:val="zh-CN" w:eastAsia="zh-CN" w:bidi="ar-SA"/>
        </w:rPr>
        <w:t>；住房保障（类）支出14.34万元，占3.22%</w:t>
      </w:r>
      <w:r>
        <w:rPr>
          <w:rFonts w:hint="eastAsia" w:ascii="Times New Roman" w:hAnsi="Times New Roman" w:eastAsia="仿宋_GB2312" w:cs="Times New Roman"/>
          <w:color w:val="auto"/>
          <w:kern w:val="2"/>
          <w:sz w:val="32"/>
          <w:szCs w:val="32"/>
          <w:lang w:val="zh-CN" w:eastAsia="zh-CN" w:bidi="ar-SA"/>
        </w:rPr>
        <w:t>，</w:t>
      </w:r>
      <w:r>
        <w:rPr>
          <w:rFonts w:ascii="仿宋_GB2312" w:hAnsi="仿宋_GB2312" w:eastAsia="仿宋_GB2312" w:cs="仿宋_GB2312"/>
          <w:sz w:val="33"/>
          <w:szCs w:val="33"/>
        </w:rPr>
        <w:t>主要是</w:t>
      </w:r>
      <w:r>
        <w:rPr>
          <w:rFonts w:hint="eastAsia" w:ascii="仿宋_GB2312" w:hAnsi="仿宋_GB2312" w:eastAsia="仿宋_GB2312" w:cs="仿宋_GB2312"/>
          <w:sz w:val="33"/>
          <w:szCs w:val="33"/>
        </w:rPr>
        <w:t>在职职工住房公积金</w:t>
      </w:r>
      <w:r>
        <w:rPr>
          <w:rFonts w:hint="default" w:ascii="Times New Roman" w:hAnsi="Times New Roman" w:eastAsia="仿宋_GB2312" w:cs="Times New Roman"/>
          <w:color w:val="auto"/>
          <w:kern w:val="2"/>
          <w:sz w:val="32"/>
          <w:szCs w:val="32"/>
          <w:lang w:val="zh-CN"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80" w:firstLineChars="200"/>
        <w:jc w:val="left"/>
        <w:textAlignment w:val="auto"/>
      </w:pPr>
      <w:r>
        <w:drawing>
          <wp:inline distT="0" distB="0" distL="114300" distR="114300">
            <wp:extent cx="4572000" cy="3152775"/>
            <wp:effectExtent l="6350" t="6350" r="12700" b="2222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80" w:firstLineChars="200"/>
        <w:jc w:val="center"/>
        <w:textAlignment w:val="auto"/>
        <w:rPr>
          <w:rFonts w:hint="default"/>
          <w:lang w:val="zh-CN" w:eastAsia="zh-CN"/>
        </w:rPr>
      </w:pPr>
      <w:r>
        <w:rPr>
          <w:rFonts w:hint="default"/>
          <w:lang w:val="zh-CN" w:eastAsia="zh-CN"/>
        </w:rPr>
        <w:t>财政拨款支出决算结构（按功能分类）</w:t>
      </w:r>
      <w:r>
        <w:rPr>
          <w:rFonts w:hint="eastAsia"/>
          <w:lang w:val="zh-CN" w:eastAsia="zh-CN"/>
        </w:rPr>
        <w:t>（</w:t>
      </w:r>
      <w:r>
        <w:rPr>
          <w:rFonts w:hint="eastAsia"/>
          <w:lang w:val="en-US" w:eastAsia="zh-CN"/>
        </w:rPr>
        <w:t>单位：万元</w:t>
      </w:r>
      <w:r>
        <w:rPr>
          <w:rFonts w:hint="eastAsia"/>
          <w:lang w:val="zh-CN" w:eastAsia="zh-CN"/>
        </w:rPr>
        <w:t>）</w:t>
      </w:r>
    </w:p>
    <w:p>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一般公共预算基本支出决算情况说明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年度财政拨款基本支出208.13万元，其中：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zh-CN" w:eastAsia="zh-CN" w:bidi="ar-SA"/>
        </w:rPr>
        <w:t>人员经费199.61万元，主要包括基本工资、津贴补贴、奖金、伙食补助费、绩效工资、机关事业</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zh-CN" w:eastAsia="zh-CN" w:bidi="ar-SA"/>
        </w:rPr>
        <w:t>基本养老保险缴费、职工基本医疗保险缴费、住房公积金、其他社会保障缴费、其他工资福利支出、 退休费、 生活补助、奖励金、其他对</w:t>
      </w:r>
      <w:r>
        <w:rPr>
          <w:rFonts w:hint="default" w:ascii="Times New Roman" w:hAnsi="Times New Roman" w:eastAsia="仿宋_GB2312" w:cs="Times New Roman"/>
          <w:i w:val="0"/>
          <w:iCs w:val="0"/>
          <w:caps w:val="0"/>
          <w:color w:val="333333"/>
          <w:spacing w:val="0"/>
          <w:sz w:val="33"/>
          <w:szCs w:val="33"/>
          <w:highlight w:val="none"/>
          <w:shd w:val="clear" w:fill="FFFFFF"/>
        </w:rPr>
        <w:t>个人和家庭</w:t>
      </w:r>
      <w:r>
        <w:rPr>
          <w:rFonts w:hint="default" w:ascii="Times New Roman" w:hAnsi="Times New Roman" w:eastAsia="仿宋_GB2312" w:cs="Times New Roman"/>
          <w:color w:val="auto"/>
          <w:kern w:val="2"/>
          <w:sz w:val="32"/>
          <w:szCs w:val="32"/>
          <w:lang w:val="zh-CN" w:eastAsia="zh-CN" w:bidi="ar-SA"/>
        </w:rPr>
        <w:t>的补助支出。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公用经费8.52万元，主要包括办公费、水费、电费、邮电费、取暖费、差旅费、维修（护）费、工会经费、福利费、公务用车运行维护费、其他商品和服务支出。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五、财政拨款“三公” 经费支出决算情况说明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（一）“三公”经费财政拨款支出决算总体情况说明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年度“三公”经费财政拨款支出预算为1.2万元，支出决算为0.48万元，完成预算的40.36%，较预算减少</w:t>
      </w:r>
      <w:r>
        <w:rPr>
          <w:rFonts w:hint="eastAsia" w:ascii="Times New Roman" w:hAnsi="Times New Roman" w:eastAsia="仿宋_GB2312" w:cs="Times New Roman"/>
          <w:color w:val="auto"/>
          <w:kern w:val="2"/>
          <w:sz w:val="32"/>
          <w:szCs w:val="32"/>
          <w:lang w:val="en-US" w:eastAsia="zh-CN" w:bidi="ar-SA"/>
        </w:rPr>
        <w:t>0.72</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59.64</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%，主要是公务用车使用频率较低，加油维修费用较低；较2022年度决算减少</w:t>
      </w:r>
      <w:r>
        <w:rPr>
          <w:rFonts w:hint="eastAsia" w:ascii="Times New Roman" w:hAnsi="Times New Roman" w:eastAsia="仿宋_GB2312" w:cs="Times New Roman"/>
          <w:color w:val="auto"/>
          <w:kern w:val="2"/>
          <w:sz w:val="32"/>
          <w:szCs w:val="32"/>
          <w:lang w:val="en-US" w:eastAsia="zh-CN" w:bidi="ar-SA"/>
        </w:rPr>
        <w:t>0.07</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12.73</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w:t>
      </w:r>
    </w:p>
    <w:p>
      <w:pPr>
        <w:adjustRightInd w:val="0"/>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（二）“三公”经费财政拨款支出决算具体情况说明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1.因公出国（境）费支出情况。</w:t>
      </w:r>
      <w:r>
        <w:rPr>
          <w:rFonts w:hint="default" w:ascii="Times New Roman" w:hAnsi="Times New Roman" w:eastAsia="仿宋_GB2312" w:cs="Times New Roman"/>
          <w:color w:val="auto"/>
          <w:kern w:val="2"/>
          <w:sz w:val="32"/>
          <w:szCs w:val="32"/>
          <w:lang w:val="zh-CN" w:eastAsia="zh-CN" w:bidi="ar-SA"/>
        </w:rPr>
        <w:t>本单位</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年度因公出国（境）费支出预算为0万元，支出决算0万元，完成预算的100%。其中因公出国（境）团组0个、共0人、参加其他单位组织的因公出国（境）团组0个、共0人</w:t>
      </w:r>
      <w:r>
        <w:rPr>
          <w:rFonts w:hint="eastAsia" w:ascii="仿宋_GB2312" w:eastAsia="仿宋_GB2312" w:cs="DengXian-Regular"/>
          <w:b/>
          <w:bCs/>
          <w:sz w:val="32"/>
          <w:szCs w:val="32"/>
          <w:lang w:eastAsia="zh-CN"/>
        </w:rPr>
        <w:t>、</w:t>
      </w:r>
      <w:r>
        <w:rPr>
          <w:rFonts w:hint="eastAsia" w:ascii="仿宋_GB2312" w:eastAsia="仿宋_GB2312" w:cs="DengXian-Regular"/>
          <w:sz w:val="32"/>
          <w:szCs w:val="32"/>
        </w:rPr>
        <w:t>无本单位组织的出国（境）团组。因公出国（境）费支出较预算</w:t>
      </w:r>
      <w:r>
        <w:rPr>
          <w:rFonts w:hint="eastAsia" w:ascii="仿宋_GB2312" w:eastAsia="仿宋_GB2312" w:cs="DengXian-Regular"/>
          <w:sz w:val="32"/>
          <w:szCs w:val="32"/>
          <w:lang w:eastAsia="zh-CN"/>
        </w:rPr>
        <w:t>数</w:t>
      </w:r>
      <w:r>
        <w:rPr>
          <w:rFonts w:hint="eastAsia" w:ascii="仿宋_GB2312" w:eastAsia="仿宋_GB2312" w:cs="DengXian-Regular"/>
          <w:sz w:val="32"/>
          <w:szCs w:val="32"/>
        </w:rPr>
        <w:t>增加0万元，增长0%</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主要是未发生因公出国（境）费用；较</w:t>
      </w:r>
      <w:r>
        <w:rPr>
          <w:rFonts w:hint="eastAsia" w:ascii="仿宋_GB2312" w:eastAsia="仿宋_GB2312" w:cs="DengXian-Regular"/>
          <w:sz w:val="32"/>
          <w:szCs w:val="32"/>
          <w:lang w:val="en-US" w:eastAsia="zh-CN"/>
        </w:rPr>
        <w:t>上年</w:t>
      </w:r>
      <w:r>
        <w:rPr>
          <w:rFonts w:hint="eastAsia" w:ascii="仿宋_GB2312" w:eastAsia="仿宋_GB2312" w:cs="DengXian-Regular"/>
          <w:sz w:val="32"/>
          <w:szCs w:val="32"/>
        </w:rPr>
        <w:t>增加0万元，增长0%</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主要是未发生因公出国（境）费用。与202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度</w:t>
      </w:r>
      <w:r>
        <w:rPr>
          <w:rFonts w:hint="eastAsia" w:ascii="仿宋_GB2312" w:eastAsia="仿宋_GB2312" w:cs="DengXian-Regular"/>
          <w:sz w:val="32"/>
          <w:szCs w:val="32"/>
        </w:rPr>
        <w:t>决算支出持平。</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Arial" w:cs="Times New Roman"/>
          <w:highlight w:val="none"/>
        </w:rPr>
      </w:pPr>
      <w:r>
        <w:rPr>
          <w:rFonts w:hint="default"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sz w:val="32"/>
          <w:szCs w:val="32"/>
        </w:rPr>
        <w:t>公务用车购置及运行维护费支出情况。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年度公务用车购置及运行维护费预算为1.2万元，支出决算 0.48万元，完成预算的40.36%</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较预算减少</w:t>
      </w:r>
      <w:r>
        <w:rPr>
          <w:rFonts w:hint="eastAsia" w:ascii="Times New Roman" w:hAnsi="Times New Roman" w:eastAsia="仿宋_GB2312" w:cs="Times New Roman"/>
          <w:color w:val="auto"/>
          <w:kern w:val="2"/>
          <w:sz w:val="32"/>
          <w:szCs w:val="32"/>
          <w:lang w:val="en-US" w:eastAsia="zh-CN" w:bidi="ar-SA"/>
        </w:rPr>
        <w:t>0.72</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59.64</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主要是公务用车使用频率较低，加油维修费用较低；较上年减少</w:t>
      </w:r>
      <w:r>
        <w:rPr>
          <w:rFonts w:hint="eastAsia" w:ascii="Times New Roman" w:hAnsi="Times New Roman" w:eastAsia="仿宋_GB2312" w:cs="Times New Roman"/>
          <w:color w:val="auto"/>
          <w:kern w:val="2"/>
          <w:sz w:val="32"/>
          <w:szCs w:val="32"/>
          <w:lang w:val="en-US" w:eastAsia="zh-CN" w:bidi="ar-SA"/>
        </w:rPr>
        <w:t>0.07</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12.73</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主要是公务用车使用频率较低，加油维修费用较低。其中：</w:t>
      </w:r>
    </w:p>
    <w:p>
      <w:pPr>
        <w:adjustRightInd w:val="0"/>
        <w:snapToGrid w:val="0"/>
        <w:spacing w:line="580" w:lineRule="exact"/>
        <w:ind w:firstLine="643" w:firstLineChars="200"/>
        <w:rPr>
          <w:rFonts w:hint="eastAsia"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年度公务用车购置量0辆，发生“公务用车购置”经费支出0万元。公务用车购置费支出较预算增加0万元，增长0%,主要是未发生公务用车购置费支出；较上年增加0万元，增长0%,主要是未发生公务用车购置费支出。与202</w:t>
      </w:r>
      <w:r>
        <w:rPr>
          <w:rFonts w:hint="eastAsia" w:ascii="仿宋_GB2312" w:eastAsia="仿宋_GB2312" w:cs="DengXian-Regular"/>
          <w:sz w:val="32"/>
          <w:szCs w:val="32"/>
          <w:lang w:val="en-US" w:eastAsia="zh-CN"/>
        </w:rPr>
        <w:t>2年度</w:t>
      </w:r>
      <w:r>
        <w:rPr>
          <w:rFonts w:hint="eastAsia" w:ascii="仿宋_GB2312" w:eastAsia="仿宋_GB2312" w:cs="DengXian-Regular"/>
          <w:sz w:val="32"/>
          <w:szCs w:val="32"/>
        </w:rPr>
        <w:t>决算支出持平</w:t>
      </w:r>
      <w:r>
        <w:rPr>
          <w:rFonts w:hint="eastAsia" w:ascii="仿宋_GB2312" w:eastAsia="仿宋_GB2312" w:cs="DengXian-Regular"/>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0.48</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年度单位公务用车保有量1辆，发生运行维护费支出0.48万元。公车运行维护费支出较预算减少</w:t>
      </w:r>
      <w:r>
        <w:rPr>
          <w:rFonts w:hint="eastAsia" w:ascii="Times New Roman" w:hAnsi="Times New Roman" w:eastAsia="仿宋_GB2312" w:cs="Times New Roman"/>
          <w:color w:val="auto"/>
          <w:kern w:val="2"/>
          <w:sz w:val="32"/>
          <w:szCs w:val="32"/>
          <w:lang w:val="en-US" w:eastAsia="zh-CN" w:bidi="ar-SA"/>
        </w:rPr>
        <w:t>0.72</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59.64</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主要是公务用车使用频率较低，加油维修费用较低；较上年增减少</w:t>
      </w:r>
      <w:r>
        <w:rPr>
          <w:rFonts w:hint="eastAsia" w:ascii="Times New Roman" w:hAnsi="Times New Roman" w:eastAsia="仿宋_GB2312" w:cs="Times New Roman"/>
          <w:color w:val="auto"/>
          <w:kern w:val="2"/>
          <w:sz w:val="32"/>
          <w:szCs w:val="32"/>
          <w:lang w:val="en-US" w:eastAsia="zh-CN" w:bidi="ar-SA"/>
        </w:rPr>
        <w:t>0.07</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12.73</w:t>
      </w:r>
      <w:r>
        <w:rPr>
          <w:rFonts w:hint="default" w:ascii="Times New Roman" w:hAnsi="Times New Roman" w:eastAsia="仿宋_GB2312" w:cs="Times New Roman"/>
          <w:color w:val="auto"/>
          <w:kern w:val="2"/>
          <w:sz w:val="32"/>
          <w:szCs w:val="32"/>
          <w:lang w:val="zh-CN" w:eastAsia="zh-CN" w:bidi="ar-SA"/>
        </w:rPr>
        <w:t>%，主要是公务用车使用频率较低，加油维修费用较低。</w:t>
      </w:r>
    </w:p>
    <w:p>
      <w:pPr>
        <w:adjustRightInd w:val="0"/>
        <w:snapToGrid w:val="0"/>
        <w:spacing w:line="580" w:lineRule="exact"/>
        <w:ind w:firstLine="643" w:firstLineChars="200"/>
        <w:rPr>
          <w:rFonts w:ascii="仿宋_GB2312" w:eastAsia="仿宋_GB2312" w:cs="DengXian-Regular"/>
          <w:sz w:val="32"/>
          <w:szCs w:val="32"/>
        </w:rPr>
      </w:pPr>
      <w:r>
        <w:rPr>
          <w:rFonts w:hint="default" w:ascii="Times New Roman" w:hAnsi="Times New Roman" w:eastAsia="楷体_GB2312" w:cs="Times New Roman"/>
          <w:b/>
          <w:bCs/>
          <w:kern w:val="2"/>
          <w:sz w:val="32"/>
          <w:szCs w:val="32"/>
          <w:lang w:val="en-US" w:eastAsia="zh-CN" w:bidi="ar-SA"/>
        </w:rPr>
        <w:t>3.公务接待费。</w:t>
      </w:r>
      <w:r>
        <w:rPr>
          <w:rFonts w:hint="default" w:ascii="Times New Roman" w:hAnsi="Times New Roman" w:eastAsia="仿宋_GB2312" w:cs="Times New Roman"/>
          <w:color w:val="auto"/>
          <w:kern w:val="2"/>
          <w:sz w:val="32"/>
          <w:szCs w:val="32"/>
          <w:lang w:val="zh-CN" w:eastAsia="zh-CN" w:bidi="ar-SA"/>
        </w:rPr>
        <w:t>本单位</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年度公务接待费支出预算为0万元，支出决算0万元，完成预算的100%。本年度共发生公务接待0批次、0人次。公务接待费支出较预算增加0万元，</w:t>
      </w:r>
      <w:r>
        <w:rPr>
          <w:rFonts w:hint="eastAsia" w:ascii="仿宋_GB2312" w:eastAsia="仿宋_GB2312" w:cs="DengXian-Regular"/>
          <w:sz w:val="32"/>
          <w:szCs w:val="32"/>
          <w:lang w:eastAsia="zh-CN"/>
        </w:rPr>
        <w:t>增长</w:t>
      </w:r>
      <w:r>
        <w:rPr>
          <w:rFonts w:hint="eastAsia" w:ascii="仿宋_GB2312" w:eastAsia="仿宋_GB2312" w:cs="DengXian-Regular"/>
          <w:sz w:val="32"/>
          <w:szCs w:val="32"/>
        </w:rPr>
        <w:t>0%,主要是未发生公务接待费支出；较上年度</w:t>
      </w:r>
      <w:r>
        <w:rPr>
          <w:rFonts w:hint="eastAsia" w:ascii="仿宋_GB2312" w:eastAsia="仿宋_GB2312" w:cs="DengXian-Regular"/>
          <w:sz w:val="32"/>
          <w:szCs w:val="32"/>
          <w:lang w:eastAsia="zh-CN"/>
        </w:rPr>
        <w:t>增加</w:t>
      </w:r>
      <w:r>
        <w:rPr>
          <w:rFonts w:hint="eastAsia" w:ascii="仿宋_GB2312" w:eastAsia="仿宋_GB2312" w:cs="DengXian-Regular"/>
          <w:sz w:val="32"/>
          <w:szCs w:val="32"/>
        </w:rPr>
        <w:t>0万元，</w:t>
      </w:r>
      <w:r>
        <w:rPr>
          <w:rFonts w:hint="eastAsia" w:ascii="仿宋_GB2312" w:eastAsia="仿宋_GB2312" w:cs="DengXian-Regular"/>
          <w:sz w:val="32"/>
          <w:szCs w:val="32"/>
          <w:lang w:eastAsia="zh-CN"/>
        </w:rPr>
        <w:t>增长</w:t>
      </w:r>
      <w:r>
        <w:rPr>
          <w:rFonts w:hint="eastAsia" w:ascii="仿宋_GB2312" w:eastAsia="仿宋_GB2312" w:cs="DengXian-Regular"/>
          <w:sz w:val="32"/>
          <w:szCs w:val="32"/>
        </w:rPr>
        <w:t>0%,主要是未发生公务接待费支出。与202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度</w:t>
      </w:r>
      <w:r>
        <w:rPr>
          <w:rFonts w:hint="eastAsia" w:ascii="仿宋_GB2312" w:eastAsia="仿宋_GB2312" w:cs="DengXian-Regular"/>
          <w:sz w:val="32"/>
          <w:szCs w:val="32"/>
        </w:rPr>
        <w:t>决算支出持平。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i w:val="0"/>
          <w:iCs w:val="0"/>
          <w:caps w:val="0"/>
          <w:color w:val="333333"/>
          <w:spacing w:val="0"/>
          <w:sz w:val="33"/>
          <w:szCs w:val="33"/>
          <w:highlight w:val="none"/>
          <w:shd w:val="clear" w:fill="FFFFFF"/>
          <w:lang w:eastAsia="zh-CN"/>
        </w:rPr>
      </w:pPr>
      <w:r>
        <w:rPr>
          <w:rFonts w:hint="default" w:ascii="Times New Roman" w:hAnsi="Times New Roman" w:eastAsia="黑体" w:cs="Times New Roman"/>
          <w:i w:val="0"/>
          <w:iCs w:val="0"/>
          <w:caps w:val="0"/>
          <w:color w:val="333333"/>
          <w:spacing w:val="0"/>
          <w:sz w:val="33"/>
          <w:szCs w:val="33"/>
          <w:highlight w:val="none"/>
          <w:shd w:val="clear" w:fill="FFFFFF"/>
        </w:rPr>
        <w:t>六、</w:t>
      </w:r>
      <w:r>
        <w:rPr>
          <w:rFonts w:hint="default" w:ascii="Times New Roman" w:hAnsi="Times New Roman" w:eastAsia="黑体" w:cs="Times New Roman"/>
          <w:sz w:val="32"/>
          <w:szCs w:val="32"/>
        </w:rPr>
        <w:t>机关运行经费支出说明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宋体" w:cs="Times New Roman"/>
          <w:i w:val="0"/>
          <w:iCs w:val="0"/>
          <w:caps w:val="0"/>
          <w:color w:val="333333"/>
          <w:spacing w:val="0"/>
          <w:sz w:val="19"/>
          <w:szCs w:val="19"/>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eastAsia" w:ascii="仿宋_GB2312" w:eastAsia="仿宋_GB2312" w:cs="DengXian-Regular"/>
          <w:color w:val="000000"/>
          <w:sz w:val="33"/>
          <w:szCs w:val="33"/>
        </w:rPr>
        <w:t>本单位是财政补助事业单位，本年度没有机关运行经费</w:t>
      </w:r>
      <w:r>
        <w:rPr>
          <w:rFonts w:hint="eastAsia" w:ascii="仿宋_GB2312" w:eastAsia="仿宋_GB2312" w:cs="DengXian-Regular"/>
          <w:color w:val="000000"/>
          <w:sz w:val="33"/>
          <w:szCs w:val="33"/>
          <w:lang w:eastAsia="zh-CN"/>
        </w:rPr>
        <w:t>，</w:t>
      </w:r>
      <w:r>
        <w:rPr>
          <w:rFonts w:hint="eastAsia" w:ascii="仿宋_GB2312" w:eastAsia="仿宋_GB2312" w:cs="DengXian-Regular"/>
          <w:color w:val="000000"/>
          <w:sz w:val="33"/>
          <w:szCs w:val="33"/>
          <w:lang w:val="en-US" w:eastAsia="zh-CN"/>
        </w:rPr>
        <w:t>较2022年度无变化。</w:t>
      </w:r>
    </w:p>
    <w:p>
      <w:pPr>
        <w:adjustRightInd w:val="0"/>
        <w:snapToGrid w:val="0"/>
        <w:spacing w:line="580" w:lineRule="exact"/>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七、</w:t>
      </w:r>
      <w:r>
        <w:rPr>
          <w:rFonts w:hint="default" w:ascii="Times New Roman" w:hAnsi="Times New Roman" w:eastAsia="黑体" w:cs="Times New Roman"/>
          <w:sz w:val="32"/>
          <w:szCs w:val="32"/>
        </w:rPr>
        <w:t>政府采购支出说明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yellow"/>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年度政府采购支出总额2.74万元，从采购类型来看，政府采购货物支出2.74万元、政府采购工程支出0万元、政府采购服务支出0万元。授予中小企业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1.14万元，占政府采购支出总额的41.67%，其中授予小微企业合同金额1.14万元，占政府采购支出总额的41.67%。</w:t>
      </w:r>
    </w:p>
    <w:p>
      <w:pPr>
        <w:snapToGrid w:val="0"/>
        <w:spacing w:line="580" w:lineRule="exact"/>
        <w:jc w:val="left"/>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八、</w:t>
      </w:r>
      <w:r>
        <w:rPr>
          <w:rFonts w:hint="default" w:ascii="Times New Roman" w:hAnsi="Times New Roman" w:eastAsia="黑体" w:cs="Times New Roman"/>
          <w:sz w:val="32"/>
          <w:szCs w:val="32"/>
        </w:rPr>
        <w:t>国有资产占用情况说明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年12月31日，本单位共有车辆1辆，</w:t>
      </w:r>
      <w:r>
        <w:rPr>
          <w:rFonts w:hint="eastAsia" w:ascii="Times New Roman" w:hAnsi="Times New Roman" w:eastAsia="仿宋_GB2312" w:cs="Times New Roman"/>
          <w:color w:val="auto"/>
          <w:kern w:val="2"/>
          <w:sz w:val="32"/>
          <w:szCs w:val="32"/>
          <w:lang w:val="en-US" w:eastAsia="zh-CN" w:bidi="ar-SA"/>
        </w:rPr>
        <w:t>与</w:t>
      </w:r>
      <w:r>
        <w:rPr>
          <w:rFonts w:hint="default" w:ascii="Times New Roman" w:hAnsi="Times New Roman" w:eastAsia="仿宋_GB2312" w:cs="Times New Roman"/>
          <w:color w:val="auto"/>
          <w:kern w:val="2"/>
          <w:sz w:val="32"/>
          <w:szCs w:val="32"/>
          <w:lang w:val="zh-CN" w:eastAsia="zh-CN" w:bidi="ar-SA"/>
        </w:rPr>
        <w:t>上年</w:t>
      </w:r>
      <w:r>
        <w:rPr>
          <w:rFonts w:hint="eastAsia" w:ascii="Times New Roman" w:hAnsi="Times New Roman" w:eastAsia="仿宋_GB2312" w:cs="Times New Roman"/>
          <w:color w:val="auto"/>
          <w:kern w:val="2"/>
          <w:sz w:val="32"/>
          <w:szCs w:val="32"/>
          <w:lang w:val="en-US" w:eastAsia="zh-CN" w:bidi="ar-SA"/>
        </w:rPr>
        <w:t>持平</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en-US" w:eastAsia="zh-CN" w:bidi="ar-SA"/>
        </w:rPr>
        <w:t>无车辆购置</w:t>
      </w:r>
      <w:r>
        <w:rPr>
          <w:rFonts w:hint="default" w:ascii="Times New Roman" w:hAnsi="Times New Roman" w:eastAsia="仿宋_GB2312" w:cs="Times New Roman"/>
          <w:color w:val="auto"/>
          <w:kern w:val="2"/>
          <w:sz w:val="32"/>
          <w:szCs w:val="32"/>
          <w:lang w:val="zh-CN" w:eastAsia="zh-CN" w:bidi="ar-SA"/>
        </w:rPr>
        <w:t>。其中，副部（省）级及以上领导用车0辆，主要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用车0辆，机要通信用车0辆，应急保障用车0辆，执法执勤用车0辆，特种专业技术用车0辆，离退休干部用车0辆，其他用车1辆，其他用车主要是</w:t>
      </w:r>
      <w:r>
        <w:rPr>
          <w:rFonts w:hint="eastAsia" w:ascii="仿宋_GB2312" w:hAnsi="仿宋_GB2312" w:eastAsia="仿宋_GB2312" w:cs="仿宋_GB2312"/>
          <w:color w:val="333333"/>
          <w:sz w:val="33"/>
          <w:szCs w:val="33"/>
        </w:rPr>
        <w:t>广场生产维护</w:t>
      </w:r>
      <w:r>
        <w:rPr>
          <w:rFonts w:hint="eastAsia" w:ascii="仿宋_GB2312" w:hAnsi="仿宋_GB2312" w:eastAsia="仿宋_GB2312" w:cs="仿宋_GB2312"/>
          <w:color w:val="333333"/>
          <w:sz w:val="33"/>
          <w:szCs w:val="33"/>
          <w:lang w:val="en-US" w:eastAsia="zh-CN"/>
        </w:rPr>
        <w:t>业务用车</w:t>
      </w:r>
      <w:r>
        <w:rPr>
          <w:rFonts w:hint="default" w:ascii="Times New Roman" w:hAnsi="Times New Roman" w:eastAsia="仿宋_GB2312" w:cs="Times New Roman"/>
          <w:color w:val="auto"/>
          <w:kern w:val="2"/>
          <w:sz w:val="32"/>
          <w:szCs w:val="32"/>
          <w:lang w:val="zh-CN" w:eastAsia="zh-CN" w:bidi="ar-SA"/>
        </w:rPr>
        <w:t>。单位价值100万元（含）以上设备（不含车辆）0台（套）。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outlineLvl w:val="1"/>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九、预算绩效情况说明</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w:t>
      </w:r>
      <w:r>
        <w:rPr>
          <w:rFonts w:hint="eastAsia" w:ascii="仿宋_GB2312" w:hAnsi="仿宋_GB2312" w:eastAsia="仿宋_GB2312" w:cs="仿宋_GB2312"/>
          <w:color w:val="333333"/>
          <w:sz w:val="33"/>
          <w:szCs w:val="33"/>
        </w:rPr>
        <w:t>一般公共预算项目2</w:t>
      </w:r>
      <w:r>
        <w:rPr>
          <w:rFonts w:ascii="仿宋_GB2312" w:hAnsi="仿宋_GB2312" w:eastAsia="仿宋_GB2312" w:cs="仿宋_GB2312"/>
          <w:color w:val="333333"/>
          <w:sz w:val="33"/>
          <w:szCs w:val="33"/>
        </w:rPr>
        <w:t>个，共涉及资金</w:t>
      </w:r>
      <w:r>
        <w:rPr>
          <w:rFonts w:hint="eastAsia" w:ascii="Times New Roman" w:hAnsi="Times New Roman" w:eastAsia="仿宋_GB2312" w:cs="Times New Roman"/>
          <w:color w:val="auto"/>
          <w:kern w:val="2"/>
          <w:sz w:val="32"/>
          <w:szCs w:val="32"/>
          <w:lang w:val="en-US" w:eastAsia="zh-CN" w:bidi="ar-SA"/>
        </w:rPr>
        <w:t>38.59</w:t>
      </w:r>
      <w:r>
        <w:rPr>
          <w:rFonts w:ascii="仿宋_GB2312" w:hAnsi="仿宋_GB2312" w:eastAsia="仿宋_GB2312" w:cs="仿宋_GB2312"/>
          <w:color w:val="333333"/>
          <w:sz w:val="33"/>
          <w:szCs w:val="33"/>
        </w:rPr>
        <w:t>万元，</w:t>
      </w:r>
      <w:r>
        <w:rPr>
          <w:rFonts w:hint="default" w:ascii="Times New Roman" w:hAnsi="Times New Roman" w:eastAsia="仿宋_GB2312" w:cs="Times New Roman"/>
          <w:color w:val="auto"/>
          <w:kern w:val="2"/>
          <w:sz w:val="32"/>
          <w:szCs w:val="32"/>
          <w:lang w:val="zh-CN" w:eastAsia="zh-CN" w:bidi="ar-SA"/>
        </w:rPr>
        <w:t>占一般公共预算项目支出总额的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%。组织对2023年度</w:t>
      </w:r>
      <w:r>
        <w:rPr>
          <w:rFonts w:hint="eastAsia" w:ascii="Times New Roman" w:hAnsi="Times New Roman" w:eastAsia="仿宋_GB2312" w:cs="Times New Roman"/>
          <w:color w:val="auto"/>
          <w:kern w:val="2"/>
          <w:sz w:val="32"/>
          <w:szCs w:val="32"/>
          <w:lang w:val="en-US" w:eastAsia="zh-CN" w:bidi="ar-SA"/>
        </w:rPr>
        <w:t>广场城市维护费（基金）</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广场大型绿雕恢复</w:t>
      </w:r>
      <w:r>
        <w:rPr>
          <w:rFonts w:hint="default" w:ascii="Times New Roman" w:hAnsi="Times New Roman" w:eastAsia="仿宋_GB2312" w:cs="Times New Roman"/>
          <w:color w:val="auto"/>
          <w:kern w:val="2"/>
          <w:sz w:val="32"/>
          <w:szCs w:val="32"/>
          <w:lang w:val="zh-CN" w:eastAsia="zh-CN" w:bidi="ar-SA"/>
        </w:rPr>
        <w:t>等</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个政府性基金预算项目支出开展绩效自评，共涉及资金</w:t>
      </w:r>
      <w:r>
        <w:rPr>
          <w:rFonts w:hint="eastAsia" w:ascii="Times New Roman" w:hAnsi="Times New Roman" w:eastAsia="仿宋_GB2312" w:cs="Times New Roman"/>
          <w:color w:val="auto"/>
          <w:kern w:val="2"/>
          <w:sz w:val="32"/>
          <w:szCs w:val="32"/>
          <w:lang w:val="en-US" w:eastAsia="zh-CN" w:bidi="ar-SA"/>
        </w:rPr>
        <w:t>198.11</w:t>
      </w:r>
      <w:r>
        <w:rPr>
          <w:rFonts w:hint="default" w:ascii="Times New Roman" w:hAnsi="Times New Roman" w:eastAsia="仿宋_GB2312" w:cs="Times New Roman"/>
          <w:color w:val="auto"/>
          <w:kern w:val="2"/>
          <w:sz w:val="32"/>
          <w:szCs w:val="32"/>
          <w:lang w:val="zh-CN" w:eastAsia="zh-CN" w:bidi="ar-SA"/>
        </w:rPr>
        <w:t>万元，占政府性基金预算项目支出总额的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（二）部门决算中项目绩效自评结果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6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color w:val="auto"/>
          <w:kern w:val="2"/>
          <w:sz w:val="32"/>
          <w:szCs w:val="32"/>
          <w:lang w:val="zh-CN" w:eastAsia="zh-CN" w:bidi="ar-SA"/>
        </w:rPr>
        <w:t>本单位在今年部门决算公开中反映</w:t>
      </w:r>
      <w:r>
        <w:rPr>
          <w:rFonts w:hint="eastAsia" w:ascii="Times New Roman" w:hAnsi="Times New Roman" w:eastAsia="仿宋_GB2312" w:cs="Times New Roman"/>
          <w:color w:val="auto"/>
          <w:kern w:val="2"/>
          <w:sz w:val="32"/>
          <w:szCs w:val="32"/>
          <w:lang w:val="en-US" w:eastAsia="zh-CN" w:bidi="ar-SA"/>
        </w:rPr>
        <w:t>城市维护费（基金）</w:t>
      </w:r>
      <w:r>
        <w:rPr>
          <w:rFonts w:hint="default" w:ascii="Times New Roman" w:hAnsi="Times New Roman" w:eastAsia="仿宋_GB2312" w:cs="Times New Roman"/>
          <w:color w:val="auto"/>
          <w:kern w:val="2"/>
          <w:sz w:val="32"/>
          <w:szCs w:val="32"/>
          <w:lang w:val="zh-CN" w:eastAsia="zh-CN" w:bidi="ar-SA"/>
        </w:rPr>
        <w:t>项目</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个项目绩效自评结果。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城市维护费（基金）</w:t>
      </w:r>
      <w:r>
        <w:rPr>
          <w:rFonts w:hint="default" w:ascii="Times New Roman" w:hAnsi="Times New Roman" w:eastAsia="仿宋_GB2312" w:cs="Times New Roman"/>
          <w:color w:val="auto"/>
          <w:kern w:val="2"/>
          <w:sz w:val="32"/>
          <w:szCs w:val="32"/>
          <w:lang w:val="zh-CN" w:eastAsia="zh-CN" w:bidi="ar-SA"/>
        </w:rPr>
        <w:t>项目绩效自评情况：根据年初设定的绩效目标，</w:t>
      </w:r>
      <w:r>
        <w:rPr>
          <w:rFonts w:hint="eastAsia" w:ascii="Times New Roman" w:hAnsi="Times New Roman" w:eastAsia="仿宋_GB2312" w:cs="Times New Roman"/>
          <w:color w:val="auto"/>
          <w:kern w:val="2"/>
          <w:sz w:val="32"/>
          <w:szCs w:val="32"/>
          <w:lang w:val="en-US" w:eastAsia="zh-CN" w:bidi="ar-SA"/>
        </w:rPr>
        <w:t>城市维护费（基金）</w:t>
      </w:r>
      <w:r>
        <w:rPr>
          <w:rFonts w:hint="default" w:ascii="Times New Roman" w:hAnsi="Times New Roman" w:eastAsia="仿宋_GB2312" w:cs="Times New Roman"/>
          <w:color w:val="auto"/>
          <w:kern w:val="2"/>
          <w:sz w:val="32"/>
          <w:szCs w:val="32"/>
          <w:lang w:val="zh-CN" w:eastAsia="zh-CN" w:bidi="ar-SA"/>
        </w:rPr>
        <w:t>项目绩效自评得分为</w:t>
      </w:r>
      <w:r>
        <w:rPr>
          <w:rFonts w:hint="eastAsia" w:ascii="Times New Roman" w:hAnsi="Times New Roman" w:eastAsia="仿宋_GB2312" w:cs="Times New Roman"/>
          <w:color w:val="auto"/>
          <w:kern w:val="2"/>
          <w:sz w:val="32"/>
          <w:szCs w:val="32"/>
          <w:lang w:val="en-US" w:eastAsia="zh-CN" w:bidi="ar-SA"/>
        </w:rPr>
        <w:t>96.54</w:t>
      </w:r>
      <w:r>
        <w:rPr>
          <w:rFonts w:hint="default" w:ascii="Times New Roman" w:hAnsi="Times New Roman" w:eastAsia="仿宋_GB2312" w:cs="Times New Roman"/>
          <w:color w:val="auto"/>
          <w:kern w:val="2"/>
          <w:sz w:val="32"/>
          <w:szCs w:val="32"/>
          <w:lang w:val="zh-CN" w:eastAsia="zh-CN" w:bidi="ar-SA"/>
        </w:rPr>
        <w:t>分（绩效自评表附后）。全年预算数为</w:t>
      </w:r>
      <w:r>
        <w:rPr>
          <w:rFonts w:hint="eastAsia" w:ascii="Times New Roman" w:hAnsi="Times New Roman" w:eastAsia="仿宋_GB2312" w:cs="Times New Roman"/>
          <w:color w:val="auto"/>
          <w:kern w:val="2"/>
          <w:sz w:val="32"/>
          <w:szCs w:val="32"/>
          <w:lang w:val="en-US" w:eastAsia="zh-CN" w:bidi="ar-SA"/>
        </w:rPr>
        <w:t>220</w:t>
      </w:r>
      <w:r>
        <w:rPr>
          <w:rFonts w:hint="default" w:ascii="Times New Roman" w:hAnsi="Times New Roman" w:eastAsia="仿宋_GB2312" w:cs="Times New Roman"/>
          <w:color w:val="auto"/>
          <w:kern w:val="2"/>
          <w:sz w:val="32"/>
          <w:szCs w:val="32"/>
          <w:lang w:val="zh-CN" w:eastAsia="zh-CN" w:bidi="ar-SA"/>
        </w:rPr>
        <w:t>万元，执行数为</w:t>
      </w:r>
      <w:r>
        <w:rPr>
          <w:rFonts w:hint="eastAsia" w:ascii="Times New Roman" w:hAnsi="Times New Roman" w:eastAsia="仿宋_GB2312" w:cs="Times New Roman"/>
          <w:color w:val="auto"/>
          <w:kern w:val="2"/>
          <w:sz w:val="32"/>
          <w:szCs w:val="32"/>
          <w:lang w:val="en-US" w:eastAsia="zh-CN" w:bidi="ar-SA"/>
        </w:rPr>
        <w:t>188.32</w:t>
      </w:r>
      <w:r>
        <w:rPr>
          <w:rFonts w:hint="default" w:ascii="Times New Roman" w:hAnsi="Times New Roman" w:eastAsia="仿宋_GB2312" w:cs="Times New Roman"/>
          <w:color w:val="auto"/>
          <w:kern w:val="2"/>
          <w:sz w:val="32"/>
          <w:szCs w:val="32"/>
          <w:lang w:val="zh-CN" w:eastAsia="zh-CN" w:bidi="ar-SA"/>
        </w:rPr>
        <w:t>万元，完成预算的</w:t>
      </w:r>
      <w:r>
        <w:rPr>
          <w:rFonts w:hint="eastAsia" w:ascii="Times New Roman" w:hAnsi="Times New Roman" w:eastAsia="仿宋_GB2312" w:cs="Times New Roman"/>
          <w:color w:val="auto"/>
          <w:kern w:val="2"/>
          <w:sz w:val="32"/>
          <w:szCs w:val="32"/>
          <w:lang w:val="en-US" w:eastAsia="zh-CN" w:bidi="ar-SA"/>
        </w:rPr>
        <w:t>85.6</w:t>
      </w:r>
      <w:r>
        <w:rPr>
          <w:rFonts w:hint="default" w:ascii="Times New Roman" w:hAnsi="Times New Roman" w:eastAsia="仿宋_GB2312" w:cs="Times New Roman"/>
          <w:color w:val="auto"/>
          <w:kern w:val="2"/>
          <w:sz w:val="32"/>
          <w:szCs w:val="32"/>
          <w:lang w:val="zh-CN" w:eastAsia="zh-CN" w:bidi="ar-SA"/>
        </w:rPr>
        <w:t>%。项目绩效目标完成情况：提供</w:t>
      </w:r>
      <w:r>
        <w:rPr>
          <w:rFonts w:hint="eastAsia" w:ascii="Times New Roman" w:hAnsi="Times New Roman" w:eastAsia="仿宋_GB2312" w:cs="Times New Roman"/>
          <w:color w:val="auto"/>
          <w:kern w:val="2"/>
          <w:sz w:val="32"/>
          <w:szCs w:val="32"/>
          <w:lang w:val="zh-CN" w:eastAsia="zh-CN" w:bidi="ar-SA"/>
        </w:rPr>
        <w:t>了</w:t>
      </w:r>
      <w:r>
        <w:rPr>
          <w:rFonts w:hint="default" w:ascii="Times New Roman" w:hAnsi="Times New Roman" w:eastAsia="仿宋_GB2312" w:cs="Times New Roman"/>
          <w:color w:val="auto"/>
          <w:kern w:val="2"/>
          <w:sz w:val="32"/>
          <w:szCs w:val="32"/>
          <w:lang w:val="zh-CN" w:eastAsia="zh-CN" w:bidi="ar-SA"/>
        </w:rPr>
        <w:t>更加优美的休闲健身场所</w:t>
      </w: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广场管理水平进一步提升</w:t>
      </w:r>
      <w:r>
        <w:rPr>
          <w:rFonts w:hint="default" w:ascii="Times New Roman" w:hAnsi="Times New Roman" w:eastAsia="仿宋_GB2312" w:cs="Times New Roman"/>
          <w:color w:val="auto"/>
          <w:kern w:val="2"/>
          <w:sz w:val="32"/>
          <w:szCs w:val="32"/>
          <w:lang w:val="zh-CN" w:eastAsia="zh-CN" w:bidi="ar-SA"/>
        </w:rPr>
        <w:t>。</w:t>
      </w:r>
    </w:p>
    <w:tbl>
      <w:tblPr>
        <w:tblStyle w:val="11"/>
        <w:tblW w:w="8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431"/>
        <w:gridCol w:w="1144"/>
        <w:gridCol w:w="952"/>
        <w:gridCol w:w="952"/>
        <w:gridCol w:w="656"/>
        <w:gridCol w:w="370"/>
        <w:gridCol w:w="509"/>
        <w:gridCol w:w="430"/>
        <w:gridCol w:w="1144"/>
        <w:gridCol w:w="370"/>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40"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40"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8" w:hRule="atLeast"/>
        </w:trPr>
        <w:tc>
          <w:tcPr>
            <w:tcW w:w="481"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385"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2066" w:type="dxa"/>
            <w:gridSpan w:val="2"/>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广场城市维护费(基金)</w:t>
            </w:r>
          </w:p>
        </w:tc>
        <w:tc>
          <w:tcPr>
            <w:tcW w:w="931"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620"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786" w:type="dxa"/>
            <w:gridSpan w:val="2"/>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1517" w:type="dxa"/>
            <w:gridSpan w:val="2"/>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509003 - 衡水市广场管理中心</w:t>
            </w:r>
          </w:p>
        </w:tc>
        <w:tc>
          <w:tcPr>
            <w:tcW w:w="320"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934" w:type="dxa"/>
            <w:tcBorders>
              <w:top w:val="single" w:color="B0C4DE"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248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2303"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220.000000</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188.316878</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188.316878</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220.000000</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188.316878</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188.316878</w:t>
            </w: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338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2923"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38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提供更加优美的休闲健身场所，进一步提升广场管理水平</w:t>
            </w:r>
          </w:p>
        </w:tc>
        <w:tc>
          <w:tcPr>
            <w:tcW w:w="2923"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6"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安全运行天数（**天）</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安全运行天数（**天）</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365</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Arial" w:hAnsi="Arial" w:eastAsia="宋体" w:cs="Arial"/>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设施完好率（≥**%）</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设施完好率（≥**%）</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Arial" w:hAnsi="Arial" w:eastAsia="宋体" w:cs="Arial"/>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破损设施修复天数（≤**天）</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破损设施修复天数（≤**天）</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Arial" w:hAnsi="Arial" w:eastAsia="宋体" w:cs="Arial"/>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项目预算控制数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188.316878</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全年可接待天数（≥**天）</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全年可接待天数（</w:t>
            </w:r>
            <w:r>
              <w:rPr>
                <w:rFonts w:hint="default" w:ascii="Calibri" w:hAnsi="Calibri" w:eastAsia="宋体" w:cs="Calibri"/>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天）</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365</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r>
              <w:rPr>
                <w:rFonts w:hint="default" w:ascii="Calibri" w:hAnsi="Calibri" w:eastAsia="宋体" w:cs="Calibri"/>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alibri" w:hAnsi="Calibri" w:eastAsia="宋体" w:cs="Calibri"/>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8.559858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alibri" w:hAnsi="Calibri" w:eastAsia="宋体" w:cs="Calibri"/>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7174" w:type="dxa"/>
            <w:gridSpan w:val="10"/>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96.54</w:t>
            </w:r>
          </w:p>
        </w:tc>
      </w:tr>
    </w:tbl>
    <w:p>
      <w:pPr>
        <w:adjustRightInd w:val="0"/>
        <w:snapToGrid w:val="0"/>
        <w:spacing w:line="580" w:lineRule="exact"/>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本部门2023年度国有资本经营预算财政拨款无</w:t>
      </w:r>
      <w:r>
        <w:rPr>
          <w:rFonts w:hint="eastAsia" w:ascii="Times New Roman" w:hAnsi="Times New Roman" w:eastAsia="仿宋_GB2312" w:cs="Times New Roman"/>
          <w:sz w:val="32"/>
          <w:szCs w:val="32"/>
          <w:lang w:val="en-US" w:eastAsia="zh-CN"/>
        </w:rPr>
        <w:t>支出</w:t>
      </w:r>
      <w:r>
        <w:rPr>
          <w:rFonts w:hint="default" w:ascii="Times New Roman" w:hAnsi="Times New Roman" w:eastAsia="仿宋_GB2312" w:cs="Times New Roman"/>
          <w:sz w:val="32"/>
          <w:szCs w:val="32"/>
        </w:rPr>
        <w:t>情况，故国有资本经营预算财政拨款支出决算表（公开08表）以空表列示。</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adjustRightInd w:val="0"/>
        <w:snapToGrid w:val="0"/>
        <w:spacing w:line="580" w:lineRule="exact"/>
        <w:ind w:firstLine="640" w:firstLineChars="200"/>
        <w:rPr>
          <w:rFonts w:hint="default" w:ascii="Times New Roman" w:hAnsi="Times New Roman" w:eastAsia="仿宋_GB2312" w:cs="Times New Roman"/>
          <w:sz w:val="32"/>
          <w:szCs w:val="32"/>
        </w:rPr>
      </w:pPr>
    </w:p>
    <w:p>
      <w:pPr>
        <w:widowControl/>
        <w:spacing w:line="580" w:lineRule="exact"/>
        <w:ind w:firstLine="883" w:firstLineChars="200"/>
        <w:jc w:val="left"/>
        <w:rPr>
          <w:rFonts w:hint="default" w:ascii="Times New Roman" w:hAnsi="Times New Roman" w:eastAsia="宋体" w:cs="Times New Roman"/>
          <w:b/>
          <w:bCs/>
          <w:kern w:val="0"/>
          <w:sz w:val="44"/>
          <w:szCs w:val="44"/>
        </w:rPr>
      </w:pPr>
    </w:p>
    <w:p>
      <w:pPr>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一、</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bCs/>
          <w:color w:val="000000"/>
          <w:kern w:val="0"/>
          <w:sz w:val="32"/>
          <w:szCs w:val="32"/>
        </w:rPr>
        <w:t>指单位从同级财政部门取得的财政预算资金。</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二、</w:t>
      </w:r>
      <w:r>
        <w:rPr>
          <w:rFonts w:hint="default" w:ascii="Times New Roman" w:hAnsi="Times New Roman" w:eastAsia="仿宋_GB2312" w:cs="Times New Roman"/>
          <w:b/>
          <w:bCs/>
          <w:color w:val="000000"/>
          <w:kern w:val="0"/>
          <w:sz w:val="32"/>
          <w:szCs w:val="32"/>
        </w:rPr>
        <w:t>事业收入：</w:t>
      </w:r>
      <w:r>
        <w:rPr>
          <w:rFonts w:hint="default" w:ascii="Times New Roman" w:hAnsi="Times New Roman" w:eastAsia="仿宋_GB2312" w:cs="Times New Roman"/>
          <w:bCs/>
          <w:color w:val="000000"/>
          <w:kern w:val="0"/>
          <w:sz w:val="32"/>
          <w:szCs w:val="32"/>
        </w:rPr>
        <w:t>指事业单位开展专业业务活动及辅助活动取得的收入。</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三、</w:t>
      </w:r>
      <w:r>
        <w:rPr>
          <w:rFonts w:hint="default" w:ascii="Times New Roman" w:hAnsi="Times New Roman" w:eastAsia="仿宋_GB2312" w:cs="Times New Roman"/>
          <w:b/>
          <w:bCs/>
          <w:color w:val="000000"/>
          <w:kern w:val="0"/>
          <w:sz w:val="32"/>
          <w:szCs w:val="32"/>
        </w:rPr>
        <w:t>经营收入：</w:t>
      </w:r>
      <w:r>
        <w:rPr>
          <w:rFonts w:hint="default" w:ascii="Times New Roman" w:hAnsi="Times New Roman" w:eastAsia="仿宋_GB2312" w:cs="Times New Roman"/>
          <w:bCs/>
          <w:color w:val="000000"/>
          <w:kern w:val="0"/>
          <w:sz w:val="32"/>
          <w:szCs w:val="32"/>
        </w:rPr>
        <w:t>指事业单位在专业业务活动及其辅助活动之外开展非独立核算经营活动取得的收入。</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四、</w:t>
      </w:r>
      <w:r>
        <w:rPr>
          <w:rFonts w:hint="default" w:ascii="Times New Roman" w:hAnsi="Times New Roman" w:eastAsia="仿宋_GB2312" w:cs="Times New Roman"/>
          <w:b/>
          <w:bCs/>
          <w:color w:val="000000"/>
          <w:kern w:val="0"/>
          <w:sz w:val="32"/>
          <w:szCs w:val="32"/>
        </w:rPr>
        <w:t>其他收入：</w:t>
      </w:r>
      <w:r>
        <w:rPr>
          <w:rFonts w:hint="default" w:ascii="Times New Roman" w:hAnsi="Times New Roman" w:eastAsia="仿宋_GB2312" w:cs="Times New Roman"/>
          <w:bCs/>
          <w:color w:val="000000"/>
          <w:kern w:val="0"/>
          <w:sz w:val="32"/>
          <w:szCs w:val="32"/>
        </w:rPr>
        <w:t>指单位取得的除上述收入以外的各项收</w:t>
      </w:r>
    </w:p>
    <w:p>
      <w:pPr>
        <w:spacing w:line="580" w:lineRule="exact"/>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Cs/>
          <w:color w:val="000000"/>
          <w:kern w:val="0"/>
          <w:sz w:val="32"/>
          <w:szCs w:val="32"/>
        </w:rPr>
        <w:t>入。主要是事业单位固定资产出租收入、存款利息收入等。</w:t>
      </w:r>
    </w:p>
    <w:p>
      <w:p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五、</w:t>
      </w:r>
      <w:r>
        <w:rPr>
          <w:rFonts w:hint="default" w:ascii="Times New Roman" w:hAnsi="Times New Roman" w:eastAsia="仿宋_GB2312" w:cs="Times New Roman"/>
          <w:b/>
          <w:bCs/>
          <w:color w:val="000000"/>
          <w:kern w:val="0"/>
          <w:sz w:val="32"/>
          <w:szCs w:val="32"/>
        </w:rPr>
        <w:t>使用非财政拨款结余（含专用结余）：</w:t>
      </w:r>
      <w:r>
        <w:rPr>
          <w:rFonts w:hint="default" w:ascii="Times New Roman" w:hAnsi="Times New Roman"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bCs/>
          <w:color w:val="000000"/>
          <w:kern w:val="0"/>
          <w:sz w:val="32"/>
          <w:szCs w:val="32"/>
        </w:rPr>
        <w:t>指单位以前年度尚未完成、结转到本年仍按原规定用途继续使用的资金，或项目已完成等产生的结余资金。</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bCs/>
          <w:color w:val="000000"/>
          <w:kern w:val="0"/>
          <w:sz w:val="32"/>
          <w:szCs w:val="32"/>
        </w:rPr>
        <w:t>指事业单位按照会计制度规定缴纳的所得税、提取的专用结余以及转入非财政拨款结余的金额等。</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bCs/>
          <w:color w:val="000000"/>
          <w:kern w:val="0"/>
          <w:sz w:val="32"/>
          <w:szCs w:val="32"/>
        </w:rPr>
        <w:t>指单位按有关规定结转到下年或以后年度继续使用的资金，或项目已完成等产生的结余资金。</w:t>
      </w:r>
    </w:p>
    <w:p>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九、</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bCs/>
          <w:color w:val="000000"/>
          <w:kern w:val="0"/>
          <w:sz w:val="32"/>
          <w:szCs w:val="32"/>
        </w:rPr>
        <w:t>指为保障机构正常运转、完成日常工作任务而发生的人员支出和公用支出。</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十一、</w:t>
      </w:r>
      <w:r>
        <w:rPr>
          <w:rFonts w:hint="default" w:ascii="Times New Roman" w:hAnsi="Times New Roman" w:eastAsia="仿宋_GB2312" w:cs="Times New Roman"/>
          <w:b/>
          <w:bCs/>
          <w:color w:val="000000"/>
          <w:kern w:val="0"/>
          <w:sz w:val="32"/>
          <w:szCs w:val="32"/>
        </w:rPr>
        <w:t>经营支出 ：</w:t>
      </w:r>
      <w:r>
        <w:rPr>
          <w:rFonts w:hint="default" w:ascii="Times New Roman" w:hAnsi="Times New Roman"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十二、</w:t>
      </w:r>
      <w:r>
        <w:rPr>
          <w:rFonts w:hint="default" w:ascii="Times New Roman" w:hAnsi="Times New Roman" w:eastAsia="仿宋_GB2312" w:cs="Times New Roman"/>
          <w:b/>
          <w:bCs/>
          <w:color w:val="000000"/>
          <w:kern w:val="0"/>
          <w:sz w:val="32"/>
          <w:szCs w:val="32"/>
        </w:rPr>
        <w:t>基本建设支出：</w:t>
      </w:r>
      <w:r>
        <w:rPr>
          <w:rFonts w:hint="default"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十三、</w:t>
      </w:r>
      <w:r>
        <w:rPr>
          <w:rFonts w:hint="default" w:ascii="Times New Roman" w:hAnsi="Times New Roman" w:eastAsia="仿宋_GB2312" w:cs="Times New Roman"/>
          <w:b/>
          <w:bCs/>
          <w:color w:val="000000"/>
          <w:kern w:val="0"/>
          <w:sz w:val="32"/>
          <w:szCs w:val="32"/>
        </w:rPr>
        <w:t>其他资本性支出：</w:t>
      </w:r>
      <w:r>
        <w:rPr>
          <w:rFonts w:hint="default"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十四、</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十五、</w:t>
      </w:r>
      <w:r>
        <w:rPr>
          <w:rFonts w:hint="default" w:ascii="Times New Roman" w:hAnsi="Times New Roman" w:eastAsia="仿宋_GB2312" w:cs="Times New Roman"/>
          <w:b/>
          <w:bCs/>
          <w:color w:val="000000"/>
          <w:kern w:val="0"/>
          <w:sz w:val="32"/>
          <w:szCs w:val="32"/>
        </w:rPr>
        <w:t>其他交通费用：</w:t>
      </w:r>
      <w:r>
        <w:rPr>
          <w:rFonts w:hint="default"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十六、</w:t>
      </w:r>
      <w:r>
        <w:rPr>
          <w:rFonts w:hint="default" w:ascii="Times New Roman" w:hAnsi="Times New Roman" w:eastAsia="仿宋_GB2312" w:cs="Times New Roman"/>
          <w:b/>
          <w:bCs/>
          <w:color w:val="000000"/>
          <w:kern w:val="0"/>
          <w:sz w:val="32"/>
          <w:szCs w:val="32"/>
        </w:rPr>
        <w:t>公务用车购置：</w:t>
      </w:r>
      <w:r>
        <w:rPr>
          <w:rFonts w:hint="default" w:ascii="Times New Roman" w:hAnsi="Times New Roman"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十七、</w:t>
      </w:r>
      <w:r>
        <w:rPr>
          <w:rFonts w:hint="default" w:ascii="Times New Roman" w:hAnsi="Times New Roman" w:eastAsia="仿宋_GB2312" w:cs="Times New Roman"/>
          <w:b/>
          <w:bCs/>
          <w:color w:val="000000"/>
          <w:kern w:val="0"/>
          <w:sz w:val="32"/>
          <w:szCs w:val="32"/>
        </w:rPr>
        <w:t>其他交通工具购置：</w:t>
      </w:r>
      <w:r>
        <w:rPr>
          <w:rFonts w:hint="default" w:ascii="Times New Roman" w:hAnsi="Times New Roman"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十八、机关运行经费：</w:t>
      </w:r>
      <w:r>
        <w:rPr>
          <w:rFonts w:hint="default"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b/>
          <w:bCs/>
          <w:color w:val="000000"/>
          <w:kern w:val="0"/>
          <w:sz w:val="32"/>
          <w:szCs w:val="32"/>
        </w:rPr>
        <w:t>十九、经费形式:</w:t>
      </w:r>
      <w:r>
        <w:rPr>
          <w:rFonts w:hint="default" w:ascii="Times New Roman" w:hAnsi="Times New Roman" w:eastAsia="仿宋_GB2312" w:cs="Times New Roman"/>
          <w:color w:val="000000"/>
          <w:kern w:val="0"/>
          <w:sz w:val="32"/>
          <w:szCs w:val="32"/>
        </w:rPr>
        <w:t>按照经费来源，</w:t>
      </w:r>
      <w:r>
        <w:rPr>
          <w:rFonts w:hint="default" w:ascii="Times New Roman" w:hAnsi="Times New Roman" w:eastAsia="仿宋_GB2312" w:cs="Times New Roman"/>
          <w:kern w:val="0"/>
          <w:sz w:val="32"/>
          <w:szCs w:val="32"/>
        </w:rPr>
        <w:t>可分为财政拨款、财政性资金基本保证、财政性资金定额或定项补助、财政性资金零补助四类</w:t>
      </w:r>
      <w:r>
        <w:rPr>
          <w:rFonts w:hint="eastAsia" w:ascii="Times New Roman" w:hAnsi="Times New Roman" w:eastAsia="仿宋_GB2312" w:cs="Times New Roman"/>
          <w:kern w:val="0"/>
          <w:sz w:val="32"/>
          <w:szCs w:val="32"/>
          <w:lang w:eastAsia="zh-CN"/>
        </w:rPr>
        <w:t>。</w:t>
      </w:r>
    </w:p>
    <w:p>
      <w:pPr>
        <w:rPr>
          <w:rFonts w:hint="default" w:ascii="Times New Roman" w:hAnsi="Times New Roman" w:cs="Times New Roma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仿宋_GB2312" w:cs="Times New Roman"/>
          <w:i w:val="0"/>
          <w:iCs w:val="0"/>
          <w:caps w:val="0"/>
          <w:color w:val="333333"/>
          <w:spacing w:val="0"/>
          <w:sz w:val="33"/>
          <w:szCs w:val="33"/>
          <w:highlight w:val="none"/>
          <w:shd w:val="clear" w:fill="FFFFFF"/>
        </w:rPr>
      </w:pPr>
    </w:p>
    <w:p>
      <w:pP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魏碑简体">
    <w:altName w:val="方正魏碑_GBK"/>
    <w:panose1 w:val="02000000000000000000"/>
    <w:charset w:val="86"/>
    <w:family w:val="auto"/>
    <w:pitch w:val="default"/>
    <w:sig w:usb0="00000000" w:usb1="00000000" w:usb2="00000012" w:usb3="00000000" w:csb0="00040001"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DengXian-Regular">
    <w:altName w:val="华文中宋"/>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EB42C"/>
    <w:multiLevelType w:val="singleLevel"/>
    <w:tmpl w:val="F31EB42C"/>
    <w:lvl w:ilvl="0" w:tentative="0">
      <w:start w:val="4"/>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DYsImhkaWQiOiJmM2ViNTIzZGE1NDI2NTllOTIxZDZhODk5YmViNDVjNyIsInVzZXJDb3VudCI6MTl9"/>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32265D"/>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25937"/>
    <w:rsid w:val="0F0E7284"/>
    <w:rsid w:val="0F28110F"/>
    <w:rsid w:val="0F37083F"/>
    <w:rsid w:val="0F891DB8"/>
    <w:rsid w:val="0FAA3B86"/>
    <w:rsid w:val="0FE15F24"/>
    <w:rsid w:val="10191346"/>
    <w:rsid w:val="102A01A6"/>
    <w:rsid w:val="106F1BFC"/>
    <w:rsid w:val="10754A6C"/>
    <w:rsid w:val="108B537D"/>
    <w:rsid w:val="10B11DB1"/>
    <w:rsid w:val="11177F57"/>
    <w:rsid w:val="11217C97"/>
    <w:rsid w:val="11464C20"/>
    <w:rsid w:val="115E4926"/>
    <w:rsid w:val="118A1FFA"/>
    <w:rsid w:val="11E35B5A"/>
    <w:rsid w:val="11E42DD6"/>
    <w:rsid w:val="125F5A1B"/>
    <w:rsid w:val="126979D6"/>
    <w:rsid w:val="128A64A6"/>
    <w:rsid w:val="129E45A7"/>
    <w:rsid w:val="13074404"/>
    <w:rsid w:val="136A5C00"/>
    <w:rsid w:val="13B97B08"/>
    <w:rsid w:val="13C527AC"/>
    <w:rsid w:val="14711797"/>
    <w:rsid w:val="147B6F17"/>
    <w:rsid w:val="14C51A17"/>
    <w:rsid w:val="14D42061"/>
    <w:rsid w:val="15081C8B"/>
    <w:rsid w:val="15090D5C"/>
    <w:rsid w:val="15190FE8"/>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773672"/>
    <w:rsid w:val="1CA15E03"/>
    <w:rsid w:val="1CA24F0C"/>
    <w:rsid w:val="1CF8716C"/>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7CC34C7"/>
    <w:rsid w:val="280A3758"/>
    <w:rsid w:val="289057C5"/>
    <w:rsid w:val="28A67C7A"/>
    <w:rsid w:val="28EA3248"/>
    <w:rsid w:val="28F879DA"/>
    <w:rsid w:val="294B7731"/>
    <w:rsid w:val="29514455"/>
    <w:rsid w:val="29A94291"/>
    <w:rsid w:val="29D21FF2"/>
    <w:rsid w:val="29E921F4"/>
    <w:rsid w:val="2A611B0F"/>
    <w:rsid w:val="2AC1762B"/>
    <w:rsid w:val="2AE845D0"/>
    <w:rsid w:val="2B285F63"/>
    <w:rsid w:val="2B4975FB"/>
    <w:rsid w:val="2B695031"/>
    <w:rsid w:val="2B735A8F"/>
    <w:rsid w:val="2BA7478D"/>
    <w:rsid w:val="2BB038DB"/>
    <w:rsid w:val="2BB761E0"/>
    <w:rsid w:val="2BB812F9"/>
    <w:rsid w:val="2BE35C27"/>
    <w:rsid w:val="2BFA504B"/>
    <w:rsid w:val="2C681F1F"/>
    <w:rsid w:val="2C8608DC"/>
    <w:rsid w:val="2CA4764A"/>
    <w:rsid w:val="2CC42ECA"/>
    <w:rsid w:val="2CC510ED"/>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0F67F07"/>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60134DF"/>
    <w:rsid w:val="360B1E2F"/>
    <w:rsid w:val="360D500F"/>
    <w:rsid w:val="36330424"/>
    <w:rsid w:val="36FE3ABA"/>
    <w:rsid w:val="37072BDE"/>
    <w:rsid w:val="37455334"/>
    <w:rsid w:val="37731921"/>
    <w:rsid w:val="379A72F5"/>
    <w:rsid w:val="37E509C0"/>
    <w:rsid w:val="37E96FB8"/>
    <w:rsid w:val="38222D85"/>
    <w:rsid w:val="38803721"/>
    <w:rsid w:val="38925A62"/>
    <w:rsid w:val="389F5F4F"/>
    <w:rsid w:val="38C36BA2"/>
    <w:rsid w:val="38F6595C"/>
    <w:rsid w:val="38FE7A29"/>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0102C"/>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40F0B"/>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06ADF"/>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571941"/>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30758"/>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3E170B"/>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 w:val="BE8BA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61"/>
    <w:basedOn w:val="13"/>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6.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6032;&#24314;%20Microsoft%20Excel%202007%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2007 工作表.xlsx]Sheet2'!$A$1:$B$1</c:f>
              <c:strCache>
                <c:ptCount val="2"/>
                <c:pt idx="0">
                  <c:v>2022年</c:v>
                </c:pt>
                <c:pt idx="1">
                  <c:v>2023年</c:v>
                </c:pt>
              </c:strCache>
            </c:strRef>
          </c:cat>
          <c:val>
            <c:numRef>
              <c:f>'[新建 Microsoft Excel 2007 工作表.xlsx]Sheet2'!$A$2:$B$2</c:f>
              <c:numCache>
                <c:formatCode>General</c:formatCode>
                <c:ptCount val="2"/>
                <c:pt idx="0">
                  <c:v>509.97</c:v>
                </c:pt>
                <c:pt idx="1">
                  <c:v>444.83</c:v>
                </c:pt>
              </c:numCache>
            </c:numRef>
          </c:val>
        </c:ser>
        <c:dLbls>
          <c:showLegendKey val="0"/>
          <c:showVal val="0"/>
          <c:showCatName val="0"/>
          <c:showSerName val="0"/>
          <c:showPercent val="0"/>
          <c:showBubbleSize val="0"/>
        </c:dLbls>
        <c:gapWidth val="246"/>
        <c:overlap val="-28"/>
        <c:axId val="395541006"/>
        <c:axId val="896497312"/>
      </c:barChart>
      <c:catAx>
        <c:axId val="3955410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497312"/>
        <c:crosses val="autoZero"/>
        <c:auto val="1"/>
        <c:lblAlgn val="ctr"/>
        <c:lblOffset val="100"/>
        <c:noMultiLvlLbl val="0"/>
      </c:catAx>
      <c:valAx>
        <c:axId val="89649731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55410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'[新建 Microsoft Excel 2007 工作表.xlsx]Sheet1'!$A$1:$B$1</c:f>
              <c:strCache>
                <c:ptCount val="2"/>
                <c:pt idx="0">
                  <c:v>基本支出</c:v>
                </c:pt>
                <c:pt idx="1">
                  <c:v>项目支出</c:v>
                </c:pt>
              </c:strCache>
            </c:strRef>
          </c:cat>
          <c:val>
            <c:numRef>
              <c:f>'[新建 Microsoft Excel 2007 工作表.xlsx]Sheet1'!$A$2:$B$2</c:f>
              <c:numCache>
                <c:formatCode>General</c:formatCode>
                <c:ptCount val="2"/>
                <c:pt idx="0">
                  <c:v>208.13</c:v>
                </c:pt>
                <c:pt idx="1">
                  <c:v>236.71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strRef>
              <c:f>'[新建 Microsoft Excel 2007 工作表.xlsx]Sheet3'!$A$1:$D$1</c:f>
              <c:strCache>
                <c:ptCount val="4"/>
                <c:pt idx="0">
                  <c:v>2022年财政拨款收入</c:v>
                </c:pt>
                <c:pt idx="1">
                  <c:v>2023年财政拨款收入</c:v>
                </c:pt>
                <c:pt idx="2">
                  <c:v>2022年财政拨款支出</c:v>
                </c:pt>
                <c:pt idx="3">
                  <c:v>2023年财政拨款支出</c:v>
                </c:pt>
              </c:strCache>
            </c:strRef>
          </c:cat>
          <c:val>
            <c:numRef>
              <c:f>'[新建 Microsoft Excel 2007 工作表.xlsx]Sheet3'!$A$2:$D$2</c:f>
              <c:numCache>
                <c:formatCode>General</c:formatCode>
                <c:ptCount val="4"/>
                <c:pt idx="0">
                  <c:v>509.97</c:v>
                </c:pt>
                <c:pt idx="1">
                  <c:v>444.83</c:v>
                </c:pt>
                <c:pt idx="2">
                  <c:v>509.97</c:v>
                </c:pt>
                <c:pt idx="3">
                  <c:v>444.83</c:v>
                </c:pt>
              </c:numCache>
            </c:numRef>
          </c:val>
        </c:ser>
        <c:dLbls>
          <c:showLegendKey val="0"/>
          <c:showVal val="0"/>
          <c:showCatName val="0"/>
          <c:showSerName val="0"/>
          <c:showPercent val="0"/>
          <c:showBubbleSize val="0"/>
        </c:dLbls>
        <c:gapWidth val="150"/>
        <c:overlap val="100"/>
        <c:axId val="85272448"/>
        <c:axId val="85273984"/>
      </c:barChart>
      <c:catAx>
        <c:axId val="852724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3984"/>
        <c:crosses val="autoZero"/>
        <c:auto val="1"/>
        <c:lblAlgn val="ctr"/>
        <c:lblOffset val="100"/>
        <c:noMultiLvlLbl val="0"/>
      </c:catAx>
      <c:valAx>
        <c:axId val="85273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244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0900216919739696"/>
          <c:y val="0.0373392680514342"/>
          <c:w val="0.902747650036153"/>
          <c:h val="0.815776458951533"/>
        </c:manualLayout>
      </c:layout>
      <c:barChart>
        <c:barDir val="col"/>
        <c:grouping val="stacked"/>
        <c:varyColors val="0"/>
        <c:ser>
          <c:idx val="0"/>
          <c:order val="0"/>
          <c:invertIfNegative val="0"/>
          <c:dLbls>
            <c:delete val="1"/>
          </c:dLbls>
          <c:cat>
            <c:strRef>
              <c:f>'[新建 Microsoft Excel 2007 工作表.xlsx]Sheet4'!$A$1:$D$1</c:f>
              <c:strCache>
                <c:ptCount val="4"/>
                <c:pt idx="0">
                  <c:v>财政拨款收入预算数</c:v>
                </c:pt>
                <c:pt idx="1">
                  <c:v>财政拨款收入决算数</c:v>
                </c:pt>
                <c:pt idx="2">
                  <c:v>财政拨款支出预算数</c:v>
                </c:pt>
                <c:pt idx="3">
                  <c:v>财政拨款支出决算数</c:v>
                </c:pt>
              </c:strCache>
            </c:strRef>
          </c:cat>
          <c:val>
            <c:numRef>
              <c:f>'[新建 Microsoft Excel 2007 工作表.xlsx]Sheet4'!$A$2:$D$2</c:f>
              <c:numCache>
                <c:formatCode>General</c:formatCode>
                <c:ptCount val="4"/>
                <c:pt idx="0">
                  <c:v>527.07</c:v>
                </c:pt>
                <c:pt idx="1">
                  <c:v>444.83</c:v>
                </c:pt>
                <c:pt idx="2">
                  <c:v>527.07</c:v>
                </c:pt>
                <c:pt idx="3">
                  <c:v>444.83</c:v>
                </c:pt>
              </c:numCache>
            </c:numRef>
          </c:val>
        </c:ser>
        <c:dLbls>
          <c:showLegendKey val="0"/>
          <c:showVal val="0"/>
          <c:showCatName val="0"/>
          <c:showSerName val="0"/>
          <c:showPercent val="0"/>
          <c:showBubbleSize val="0"/>
        </c:dLbls>
        <c:gapWidth val="75"/>
        <c:overlap val="100"/>
        <c:axId val="86930176"/>
        <c:axId val="55018240"/>
      </c:barChart>
      <c:catAx>
        <c:axId val="869301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018240"/>
        <c:crosses val="autoZero"/>
        <c:auto val="1"/>
        <c:lblAlgn val="ctr"/>
        <c:lblOffset val="100"/>
        <c:noMultiLvlLbl val="0"/>
      </c:catAx>
      <c:valAx>
        <c:axId val="5501824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9301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'[新建 Microsoft Excel 2007 工作表.xlsx]Sheet5'!$A$1:$D$1</c:f>
              <c:strCache>
                <c:ptCount val="4"/>
                <c:pt idx="0">
                  <c:v>社会保障和就业支出</c:v>
                </c:pt>
                <c:pt idx="1">
                  <c:v>卫生健康支出</c:v>
                </c:pt>
                <c:pt idx="2">
                  <c:v>城乡社区支出</c:v>
                </c:pt>
                <c:pt idx="3">
                  <c:v>住房保障支出</c:v>
                </c:pt>
              </c:strCache>
            </c:strRef>
          </c:cat>
          <c:val>
            <c:numRef>
              <c:f>'[新建 Microsoft Excel 2007 工作表.xlsx]Sheet5'!$A$2:$D$2</c:f>
              <c:numCache>
                <c:formatCode>General</c:formatCode>
                <c:ptCount val="4"/>
                <c:pt idx="0">
                  <c:v>44.72</c:v>
                </c:pt>
                <c:pt idx="1">
                  <c:v>6.66</c:v>
                </c:pt>
                <c:pt idx="2">
                  <c:v>379.12</c:v>
                </c:pt>
                <c:pt idx="3">
                  <c:v>14.34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38</Pages>
  <Words>9000</Words>
  <Characters>11132</Characters>
  <Lines>86</Lines>
  <Paragraphs>24</Paragraphs>
  <TotalTime>31</TotalTime>
  <ScaleCrop>false</ScaleCrop>
  <LinksUpToDate>false</LinksUpToDate>
  <CharactersWithSpaces>11752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2024-09-11T15:09:00Z</cp:lastPrinted>
  <dcterms:modified xsi:type="dcterms:W3CDTF">2024-09-29T16:09:28Z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E51992B9E4F1441CBC96F02734AA4F8B_13</vt:lpwstr>
  </property>
  <property fmtid="{D5CDD505-2E9C-101B-9397-08002B2CF9AE}" pid="4" name="KSOTemplateUUID">
    <vt:lpwstr>v1.0_mb_S7ajbG3IpAnL1wSthNCxfw==</vt:lpwstr>
  </property>
</Properties>
</file>